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38731CC1"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4D25C1" w:rsidRPr="004D25C1">
        <w:rPr>
          <w:rFonts w:ascii="Arial" w:hAnsi="Arial" w:cs="Arial"/>
          <w:b/>
          <w:sz w:val="24"/>
          <w:lang w:val="en-US"/>
        </w:rPr>
        <w:t>R5-204194</w:t>
      </w:r>
      <w:r w:rsidR="00353FAE">
        <w:rPr>
          <w:rFonts w:ascii="Arial" w:hAnsi="Arial" w:cs="Arial"/>
          <w:b/>
          <w:sz w:val="24"/>
          <w:lang w:val="en-US"/>
        </w:rPr>
        <w:br/>
      </w:r>
      <w:bookmarkEnd w:id="0"/>
      <w:r w:rsidR="001B28D7" w:rsidRPr="001B28D7">
        <w:rPr>
          <w:rFonts w:ascii="Arial" w:hAnsi="Arial" w:cs="Arial"/>
          <w:b/>
          <w:sz w:val="24"/>
        </w:rPr>
        <w:t>Electronic meeting,  17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730E1CC3"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F3AF8" w:rsidRPr="00CF3AF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2EA7684"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CF3AF8">
        <w:rPr>
          <w:rFonts w:ascii="Arial" w:hAnsi="Arial" w:cs="Arial"/>
          <w:sz w:val="24"/>
          <w:szCs w:val="24"/>
        </w:rPr>
        <w:t>On Re-Positioning Concept for RRM 2 AoA QoQZ Validation</w:t>
      </w:r>
      <w:bookmarkEnd w:id="3"/>
      <w:r w:rsidR="00CF3AF8">
        <w:rPr>
          <w:rFonts w:ascii="Arial" w:hAnsi="Arial" w:cs="Arial"/>
          <w:sz w:val="24"/>
          <w:szCs w:val="24"/>
        </w:rPr>
        <w:t xml:space="preserve"> and DFF QoQZ MU</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0FC32896" w:rsidR="000606FD" w:rsidRDefault="00CF3AF8" w:rsidP="000606FD">
      <w:pPr>
        <w:ind w:left="48"/>
        <w:rPr>
          <w:rFonts w:eastAsia="Batang"/>
        </w:rPr>
      </w:pPr>
      <w:r>
        <w:rPr>
          <w:rFonts w:eastAsia="Batang"/>
        </w:rPr>
        <w:t xml:space="preserve">This contribution is addressing the need to </w:t>
      </w:r>
      <w:r w:rsidR="007654DB">
        <w:rPr>
          <w:rFonts w:eastAsia="Batang"/>
        </w:rPr>
        <w:t>clarify</w:t>
      </w:r>
      <w:r>
        <w:rPr>
          <w:rFonts w:eastAsia="Batang"/>
        </w:rPr>
        <w:t xml:space="preserve"> the re-positioning concept for QoQZ validation</w:t>
      </w:r>
      <w:r w:rsidR="007654DB">
        <w:rPr>
          <w:rFonts w:eastAsia="Batang"/>
        </w:rPr>
        <w:t xml:space="preserve"> applied to RRM 2 AoA testing</w:t>
      </w:r>
      <w:r>
        <w:rPr>
          <w:rFonts w:eastAsia="Batang"/>
        </w:rPr>
        <w:t xml:space="preserve">. Additionally, sample values of DFF QoQZ MU for </w:t>
      </w:r>
      <w:r w:rsidR="00342B6F">
        <w:rPr>
          <w:rFonts w:eastAsia="Batang"/>
        </w:rPr>
        <w:t xml:space="preserve">2 AoA </w:t>
      </w:r>
      <w:r>
        <w:rPr>
          <w:rFonts w:eastAsia="Batang"/>
        </w:rPr>
        <w:t xml:space="preserve">RRM are presented. </w:t>
      </w:r>
    </w:p>
    <w:p w14:paraId="3595238E" w14:textId="27BCCBD1" w:rsidR="0053435C" w:rsidRDefault="004D5B2B" w:rsidP="0053435C">
      <w:pPr>
        <w:pStyle w:val="Heading1"/>
        <w:ind w:left="567" w:hanging="567"/>
      </w:pPr>
      <w:r>
        <w:t xml:space="preserve">QoQZ Validation for 2 AoA RRM </w:t>
      </w:r>
    </w:p>
    <w:p w14:paraId="3595238F" w14:textId="448589C6" w:rsidR="00E03F11" w:rsidRDefault="00AF4F64" w:rsidP="00E03F11">
      <w:r>
        <w:t>For 2 AoA RRM systems, t</w:t>
      </w:r>
      <w:r w:rsidR="00CF3AF8">
        <w:t xml:space="preserve">he exact probe locations </w:t>
      </w:r>
      <w:r>
        <w:t>have not been specified but</w:t>
      </w:r>
      <w:r w:rsidR="00CF3AF8">
        <w:t xml:space="preserve"> </w:t>
      </w:r>
      <w:r>
        <w:t xml:space="preserve">are left to system integrators as captured in as stated in Clause </w:t>
      </w:r>
      <w:r w:rsidRPr="00684CEA">
        <w:t>6.2.1.1</w:t>
      </w:r>
      <w:r>
        <w:t xml:space="preserve">. </w:t>
      </w:r>
    </w:p>
    <w:tbl>
      <w:tblPr>
        <w:tblStyle w:val="TableGrid"/>
        <w:tblW w:w="0" w:type="auto"/>
        <w:tblLook w:val="04A0" w:firstRow="1" w:lastRow="0" w:firstColumn="1" w:lastColumn="0" w:noHBand="0" w:noVBand="1"/>
      </w:tblPr>
      <w:tblGrid>
        <w:gridCol w:w="9631"/>
      </w:tblGrid>
      <w:tr w:rsidR="00AF4F64" w14:paraId="755636F7" w14:textId="77777777" w:rsidTr="00AF4F64">
        <w:tc>
          <w:tcPr>
            <w:tcW w:w="9631" w:type="dxa"/>
          </w:tcPr>
          <w:p w14:paraId="3D07F36F" w14:textId="1BA94CE2" w:rsidR="00AF4F64" w:rsidRPr="00684CEA" w:rsidRDefault="00AF4F64" w:rsidP="00AF4F64">
            <w:pPr>
              <w:pStyle w:val="TH"/>
            </w:pPr>
            <w:r w:rsidRPr="00684CEA">
              <w:rPr>
                <w:noProof/>
              </w:rPr>
              <w:drawing>
                <wp:inline distT="0" distB="0" distL="0" distR="0" wp14:anchorId="0787962C" wp14:editId="3CA83295">
                  <wp:extent cx="3423920" cy="33851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b="7785"/>
                          <a:stretch>
                            <a:fillRect/>
                          </a:stretch>
                        </pic:blipFill>
                        <pic:spPr bwMode="auto">
                          <a:xfrm>
                            <a:off x="0" y="0"/>
                            <a:ext cx="3423920" cy="3385185"/>
                          </a:xfrm>
                          <a:prstGeom prst="rect">
                            <a:avLst/>
                          </a:prstGeom>
                          <a:noFill/>
                        </pic:spPr>
                      </pic:pic>
                    </a:graphicData>
                  </a:graphic>
                </wp:inline>
              </w:drawing>
            </w:r>
          </w:p>
          <w:p w14:paraId="7512C15D" w14:textId="77777777" w:rsidR="00AF4F64" w:rsidRPr="00684CEA" w:rsidRDefault="00AF4F64" w:rsidP="00AF4F64">
            <w:pPr>
              <w:pStyle w:val="TF"/>
              <w:rPr>
                <w:lang w:eastAsia="ja-JP"/>
              </w:rPr>
            </w:pPr>
            <w:r w:rsidRPr="00684CEA">
              <w:t>Figure 6.2.1.1-1: Baseline measurement setup of RRM characteristics</w:t>
            </w:r>
          </w:p>
          <w:p w14:paraId="32BF70C6" w14:textId="5081F712" w:rsidR="00AF4F64" w:rsidRDefault="00AF4F64" w:rsidP="00E03F11">
            <w:r w:rsidRPr="00342B6F">
              <w:rPr>
                <w:highlight w:val="yellow"/>
              </w:rPr>
              <w:t>The absolute position of the probes is left up to implementation. The relative angular relationship between two AoAs can be achieved using any combination of probes.</w:t>
            </w:r>
          </w:p>
        </w:tc>
      </w:tr>
    </w:tbl>
    <w:p w14:paraId="0E1F9DFA" w14:textId="7C199C6D" w:rsidR="00AF4F64" w:rsidRDefault="00AF4F64" w:rsidP="00E03F11"/>
    <w:p w14:paraId="7D9301A6" w14:textId="4576BDA7" w:rsidR="00AF4F64" w:rsidRDefault="005B3B91" w:rsidP="00E03F11">
      <w:r>
        <w:t xml:space="preserve">The only requirement the probes need to meet is to have one probe along the </w:t>
      </w:r>
      <w:r w:rsidRPr="005B3B91">
        <w:rPr>
          <w:i/>
          <w:iCs/>
        </w:rPr>
        <w:t>z</w:t>
      </w:r>
      <w:r>
        <w:t xml:space="preserve"> direction (P0 probe) and to have the 30</w:t>
      </w:r>
      <w:r w:rsidRPr="005B3B91">
        <w:rPr>
          <w:vertAlign w:val="superscript"/>
        </w:rPr>
        <w:t>o</w:t>
      </w:r>
      <w:r>
        <w:t>, 60</w:t>
      </w:r>
      <w:r w:rsidRPr="005B3B91">
        <w:rPr>
          <w:vertAlign w:val="superscript"/>
        </w:rPr>
        <w:t>o</w:t>
      </w:r>
      <w:r>
        <w:t>, 90</w:t>
      </w:r>
      <w:r w:rsidRPr="005B3B91">
        <w:rPr>
          <w:vertAlign w:val="superscript"/>
        </w:rPr>
        <w:t>o</w:t>
      </w:r>
      <w:r>
        <w:t>, 120</w:t>
      </w:r>
      <w:r w:rsidRPr="005B3B91">
        <w:rPr>
          <w:vertAlign w:val="superscript"/>
        </w:rPr>
        <w:t>o</w:t>
      </w:r>
      <w:r>
        <w:t>, and 150</w:t>
      </w:r>
      <w:r w:rsidRPr="005B3B91">
        <w:rPr>
          <w:vertAlign w:val="superscript"/>
        </w:rPr>
        <w:t>o</w:t>
      </w:r>
      <w:r>
        <w:t xml:space="preserve"> relative angular distance between probes as specified in </w:t>
      </w:r>
      <w:r>
        <w:fldChar w:fldCharType="begin"/>
      </w:r>
      <w:r>
        <w:instrText xml:space="preserve"> REF _Ref47599131 \r \h </w:instrText>
      </w:r>
      <w:r>
        <w:fldChar w:fldCharType="separate"/>
      </w:r>
      <w:r w:rsidR="005D275B">
        <w:t>[2]</w:t>
      </w:r>
      <w:r>
        <w:fldChar w:fldCharType="end"/>
      </w:r>
      <w:r>
        <w:t xml:space="preserve">, specifically </w:t>
      </w:r>
      <w:r w:rsidRPr="005B3B91">
        <w:t>7.1.3.2.1</w:t>
      </w:r>
    </w:p>
    <w:tbl>
      <w:tblPr>
        <w:tblStyle w:val="TableGrid"/>
        <w:tblW w:w="0" w:type="auto"/>
        <w:tblLook w:val="04A0" w:firstRow="1" w:lastRow="0" w:firstColumn="1" w:lastColumn="0" w:noHBand="0" w:noVBand="1"/>
      </w:tblPr>
      <w:tblGrid>
        <w:gridCol w:w="9631"/>
      </w:tblGrid>
      <w:tr w:rsidR="005B3B91" w14:paraId="436809F5" w14:textId="77777777" w:rsidTr="005B3B91">
        <w:tc>
          <w:tcPr>
            <w:tcW w:w="9631" w:type="dxa"/>
          </w:tcPr>
          <w:p w14:paraId="5634D1F8" w14:textId="00D9D056" w:rsidR="005B3B91" w:rsidRDefault="005B3B91" w:rsidP="005B3B91">
            <w:pPr>
              <w:widowControl w:val="0"/>
              <w:spacing w:after="0"/>
            </w:pPr>
            <w:r w:rsidRPr="005B3B91">
              <w:t>For N</w:t>
            </w:r>
            <w:r w:rsidRPr="005B3B91">
              <w:rPr>
                <w:sz w:val="13"/>
                <w:szCs w:val="13"/>
              </w:rPr>
              <w:t xml:space="preserve">MAX_AoAs </w:t>
            </w:r>
            <w:r w:rsidRPr="005B3B91">
              <w:t>= 2 the setup shall enable following relative angular relationships between the N</w:t>
            </w:r>
            <w:r w:rsidRPr="005B3B91">
              <w:rPr>
                <w:sz w:val="13"/>
                <w:szCs w:val="13"/>
              </w:rPr>
              <w:t xml:space="preserve">MAX_AoAs </w:t>
            </w:r>
            <w:r w:rsidRPr="005B3B91">
              <w:lastRenderedPageBreak/>
              <w:t xml:space="preserve">simultaneously active AoAs: 30°, 60°, 90°, 120° and 150°. </w:t>
            </w:r>
          </w:p>
        </w:tc>
      </w:tr>
    </w:tbl>
    <w:p w14:paraId="4EA49F40" w14:textId="2DB93376" w:rsidR="005B3B91" w:rsidRDefault="005B3B91" w:rsidP="00E03F11"/>
    <w:p w14:paraId="34F80837" w14:textId="345C3E67" w:rsidR="005B3B91" w:rsidRDefault="005B3B91" w:rsidP="00E03F11">
      <w:r>
        <w:t xml:space="preserve">One sample RRM system supporting 2 AoA test cases </w:t>
      </w:r>
      <w:r w:rsidR="00BC5DBF">
        <w:t xml:space="preserve">with 6 </w:t>
      </w:r>
      <w:r w:rsidR="00342B6F">
        <w:t xml:space="preserve">IFF and/or DFF </w:t>
      </w:r>
      <w:r w:rsidR="00BC5DBF">
        <w:t xml:space="preserve">probes </w:t>
      </w:r>
      <w:r>
        <w:t xml:space="preserve">is shown in </w:t>
      </w:r>
      <w:r>
        <w:fldChar w:fldCharType="begin"/>
      </w:r>
      <w:r>
        <w:instrText xml:space="preserve"> REF _Ref47599672 \h </w:instrText>
      </w:r>
      <w:r>
        <w:fldChar w:fldCharType="separate"/>
      </w:r>
      <w:r w:rsidR="005D275B">
        <w:t xml:space="preserve">Figure </w:t>
      </w:r>
      <w:r w:rsidR="005D275B">
        <w:rPr>
          <w:noProof/>
        </w:rPr>
        <w:t>1</w:t>
      </w:r>
      <w:r>
        <w:fldChar w:fldCharType="end"/>
      </w:r>
    </w:p>
    <w:p w14:paraId="54224DDF" w14:textId="43125202" w:rsidR="005B3B91" w:rsidRDefault="005B3B91" w:rsidP="005B3B91">
      <w:pPr>
        <w:pStyle w:val="Caption"/>
        <w:jc w:val="center"/>
      </w:pPr>
      <w:r w:rsidRPr="005B3B91">
        <w:rPr>
          <w:noProof/>
        </w:rPr>
        <w:drawing>
          <wp:inline distT="0" distB="0" distL="0" distR="0" wp14:anchorId="3B814173" wp14:editId="24769BF4">
            <wp:extent cx="2125980" cy="25374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5980" cy="2537460"/>
                    </a:xfrm>
                    <a:prstGeom prst="rect">
                      <a:avLst/>
                    </a:prstGeom>
                    <a:noFill/>
                    <a:ln>
                      <a:noFill/>
                    </a:ln>
                  </pic:spPr>
                </pic:pic>
              </a:graphicData>
            </a:graphic>
          </wp:inline>
        </w:drawing>
      </w:r>
    </w:p>
    <w:p w14:paraId="42632D55" w14:textId="3DBBF395" w:rsidR="005B3B91" w:rsidRDefault="005B3B91" w:rsidP="005B3B91">
      <w:pPr>
        <w:pStyle w:val="Caption"/>
        <w:jc w:val="center"/>
      </w:pPr>
      <w:bookmarkStart w:id="4" w:name="_Ref47599672"/>
      <w:r>
        <w:t xml:space="preserve">Figure </w:t>
      </w:r>
      <w:r>
        <w:fldChar w:fldCharType="begin"/>
      </w:r>
      <w:r>
        <w:instrText xml:space="preserve"> SEQ Figure \* ARABIC </w:instrText>
      </w:r>
      <w:r>
        <w:fldChar w:fldCharType="separate"/>
      </w:r>
      <w:r w:rsidR="005D275B">
        <w:rPr>
          <w:noProof/>
        </w:rPr>
        <w:t>1</w:t>
      </w:r>
      <w:r>
        <w:fldChar w:fldCharType="end"/>
      </w:r>
      <w:bookmarkEnd w:id="4"/>
      <w:r>
        <w:t>: Sample RRM system supporting 2 AoA test cases (red dots could be IFF or DFF probes)</w:t>
      </w:r>
    </w:p>
    <w:p w14:paraId="33E20FDF" w14:textId="062B6E61" w:rsidR="005B3B91" w:rsidRDefault="00E435CB" w:rsidP="005B3B91">
      <w:r>
        <w:t>w</w:t>
      </w:r>
      <w:r w:rsidR="005B3B91">
        <w:t xml:space="preserve">ith </w:t>
      </w:r>
      <w:r>
        <w:t xml:space="preserve">the sample </w:t>
      </w:r>
      <w:r w:rsidR="005B3B91">
        <w:t xml:space="preserve">probe location as tabulated in </w:t>
      </w:r>
      <w:r w:rsidR="002557AB">
        <w:fldChar w:fldCharType="begin"/>
      </w:r>
      <w:r w:rsidR="002557AB">
        <w:instrText xml:space="preserve"> REF _Ref47609102 \h </w:instrText>
      </w:r>
      <w:r w:rsidR="002557AB">
        <w:fldChar w:fldCharType="separate"/>
      </w:r>
      <w:r w:rsidR="005D275B">
        <w:t xml:space="preserve">Table </w:t>
      </w:r>
      <w:r w:rsidR="005D275B">
        <w:rPr>
          <w:noProof/>
        </w:rPr>
        <w:t>1</w:t>
      </w:r>
      <w:r w:rsidR="002557AB">
        <w:fldChar w:fldCharType="end"/>
      </w:r>
    </w:p>
    <w:p w14:paraId="63E734A6" w14:textId="3C2FB25E" w:rsidR="002557AB" w:rsidRDefault="002557AB" w:rsidP="002557AB">
      <w:pPr>
        <w:pStyle w:val="Caption"/>
        <w:jc w:val="center"/>
      </w:pPr>
      <w:bookmarkStart w:id="5" w:name="_Ref47609102"/>
      <w:r>
        <w:t xml:space="preserve">Table </w:t>
      </w:r>
      <w:r>
        <w:fldChar w:fldCharType="begin"/>
      </w:r>
      <w:r>
        <w:instrText xml:space="preserve"> SEQ Table \* ARABIC </w:instrText>
      </w:r>
      <w:r>
        <w:fldChar w:fldCharType="separate"/>
      </w:r>
      <w:r w:rsidR="005D275B">
        <w:rPr>
          <w:noProof/>
        </w:rPr>
        <w:t>1</w:t>
      </w:r>
      <w:r>
        <w:fldChar w:fldCharType="end"/>
      </w:r>
      <w:bookmarkEnd w:id="5"/>
      <w:r>
        <w:t xml:space="preserve">: RRM probe locations for sample RRM system shown in </w:t>
      </w:r>
      <w:r>
        <w:fldChar w:fldCharType="begin"/>
      </w:r>
      <w:r>
        <w:instrText xml:space="preserve"> REF _Ref47599672 \h  \* MERGEFORMAT </w:instrText>
      </w:r>
      <w:r>
        <w:fldChar w:fldCharType="separate"/>
      </w:r>
      <w:r w:rsidR="005D275B">
        <w:t xml:space="preserve">Figure </w:t>
      </w:r>
      <w:r w:rsidR="005D275B">
        <w:rPr>
          <w:noProof/>
        </w:rPr>
        <w:t>1</w:t>
      </w:r>
      <w:r>
        <w:fldChar w:fldCharType="end"/>
      </w:r>
    </w:p>
    <w:tbl>
      <w:tblPr>
        <w:tblStyle w:val="TableGrid"/>
        <w:tblW w:w="0" w:type="auto"/>
        <w:jc w:val="center"/>
        <w:tblLook w:val="04A0" w:firstRow="1" w:lastRow="0" w:firstColumn="1" w:lastColumn="0" w:noHBand="0" w:noVBand="1"/>
      </w:tblPr>
      <w:tblGrid>
        <w:gridCol w:w="1345"/>
        <w:gridCol w:w="1260"/>
      </w:tblGrid>
      <w:tr w:rsidR="00E435CB" w14:paraId="5D40FB0B" w14:textId="77777777" w:rsidTr="00E435CB">
        <w:trPr>
          <w:jc w:val="center"/>
        </w:trPr>
        <w:tc>
          <w:tcPr>
            <w:tcW w:w="1345" w:type="dxa"/>
            <w:vAlign w:val="center"/>
          </w:tcPr>
          <w:p w14:paraId="66E5ABE2" w14:textId="2E78CF08" w:rsidR="00E435CB" w:rsidRPr="00E435CB" w:rsidRDefault="00E435CB" w:rsidP="00E435CB">
            <w:pPr>
              <w:jc w:val="center"/>
              <w:rPr>
                <w:b/>
                <w:bCs/>
              </w:rPr>
            </w:pPr>
            <w:r w:rsidRPr="00E435CB">
              <w:rPr>
                <w:rFonts w:ascii="Symbol" w:hAnsi="Symbol"/>
                <w:b/>
                <w:bCs/>
              </w:rPr>
              <w:t>q</w:t>
            </w:r>
            <w:r w:rsidRPr="00E435CB">
              <w:rPr>
                <w:b/>
                <w:bCs/>
              </w:rPr>
              <w:t xml:space="preserve"> [</w:t>
            </w:r>
            <w:r w:rsidRPr="00E435CB">
              <w:rPr>
                <w:b/>
                <w:bCs/>
                <w:vertAlign w:val="superscript"/>
              </w:rPr>
              <w:t>o</w:t>
            </w:r>
            <w:r w:rsidRPr="00E435CB">
              <w:rPr>
                <w:b/>
                <w:bCs/>
              </w:rPr>
              <w:t>]</w:t>
            </w:r>
          </w:p>
        </w:tc>
        <w:tc>
          <w:tcPr>
            <w:tcW w:w="1260" w:type="dxa"/>
            <w:vAlign w:val="center"/>
          </w:tcPr>
          <w:p w14:paraId="13FFF404" w14:textId="723F4217" w:rsidR="00E435CB" w:rsidRPr="00E435CB" w:rsidRDefault="00E435CB" w:rsidP="00E435CB">
            <w:pPr>
              <w:jc w:val="center"/>
              <w:rPr>
                <w:b/>
                <w:bCs/>
              </w:rPr>
            </w:pPr>
            <w:r w:rsidRPr="00E435CB">
              <w:rPr>
                <w:rFonts w:ascii="Symbol" w:hAnsi="Symbol"/>
                <w:b/>
                <w:bCs/>
              </w:rPr>
              <w:t>f</w:t>
            </w:r>
            <w:r w:rsidRPr="00E435CB">
              <w:rPr>
                <w:b/>
                <w:bCs/>
              </w:rPr>
              <w:t xml:space="preserve"> [</w:t>
            </w:r>
            <w:r w:rsidRPr="00E435CB">
              <w:rPr>
                <w:b/>
                <w:bCs/>
                <w:vertAlign w:val="superscript"/>
              </w:rPr>
              <w:t>o</w:t>
            </w:r>
            <w:r w:rsidRPr="00E435CB">
              <w:rPr>
                <w:b/>
                <w:bCs/>
              </w:rPr>
              <w:t>]</w:t>
            </w:r>
          </w:p>
        </w:tc>
      </w:tr>
      <w:tr w:rsidR="00E435CB" w14:paraId="5E142B9F" w14:textId="77777777" w:rsidTr="00E435CB">
        <w:trPr>
          <w:jc w:val="center"/>
        </w:trPr>
        <w:tc>
          <w:tcPr>
            <w:tcW w:w="1345" w:type="dxa"/>
            <w:vAlign w:val="center"/>
          </w:tcPr>
          <w:p w14:paraId="20EBBAAD" w14:textId="7FD771B9" w:rsidR="00E435CB" w:rsidRDefault="00E435CB" w:rsidP="00E435CB">
            <w:pPr>
              <w:jc w:val="center"/>
            </w:pPr>
            <w:r>
              <w:t>0</w:t>
            </w:r>
          </w:p>
        </w:tc>
        <w:tc>
          <w:tcPr>
            <w:tcW w:w="1260" w:type="dxa"/>
            <w:vAlign w:val="center"/>
          </w:tcPr>
          <w:p w14:paraId="0E6544FC" w14:textId="135BA05D" w:rsidR="00E435CB" w:rsidRDefault="00E435CB" w:rsidP="00E435CB">
            <w:pPr>
              <w:jc w:val="center"/>
            </w:pPr>
            <w:r>
              <w:t>90</w:t>
            </w:r>
          </w:p>
        </w:tc>
      </w:tr>
      <w:tr w:rsidR="00E435CB" w14:paraId="46834457" w14:textId="77777777" w:rsidTr="00E435CB">
        <w:trPr>
          <w:jc w:val="center"/>
        </w:trPr>
        <w:tc>
          <w:tcPr>
            <w:tcW w:w="1345" w:type="dxa"/>
            <w:vAlign w:val="center"/>
          </w:tcPr>
          <w:p w14:paraId="46DA55D1" w14:textId="0A92D224" w:rsidR="00E435CB" w:rsidRDefault="00E435CB" w:rsidP="00E435CB">
            <w:pPr>
              <w:jc w:val="center"/>
            </w:pPr>
            <w:r>
              <w:t>30</w:t>
            </w:r>
          </w:p>
        </w:tc>
        <w:tc>
          <w:tcPr>
            <w:tcW w:w="1260" w:type="dxa"/>
            <w:vAlign w:val="center"/>
          </w:tcPr>
          <w:p w14:paraId="411B11B6" w14:textId="33A39041" w:rsidR="00E435CB" w:rsidRDefault="00E435CB" w:rsidP="00E435CB">
            <w:pPr>
              <w:jc w:val="center"/>
            </w:pPr>
            <w:r>
              <w:t>90</w:t>
            </w:r>
          </w:p>
        </w:tc>
      </w:tr>
      <w:tr w:rsidR="00E435CB" w14:paraId="39841D11" w14:textId="77777777" w:rsidTr="00E435CB">
        <w:trPr>
          <w:jc w:val="center"/>
        </w:trPr>
        <w:tc>
          <w:tcPr>
            <w:tcW w:w="1345" w:type="dxa"/>
            <w:vAlign w:val="center"/>
          </w:tcPr>
          <w:p w14:paraId="34E1938D" w14:textId="199F374B" w:rsidR="00E435CB" w:rsidRDefault="00E435CB" w:rsidP="00E435CB">
            <w:pPr>
              <w:jc w:val="center"/>
            </w:pPr>
            <w:r>
              <w:t>60</w:t>
            </w:r>
          </w:p>
        </w:tc>
        <w:tc>
          <w:tcPr>
            <w:tcW w:w="1260" w:type="dxa"/>
            <w:vAlign w:val="center"/>
          </w:tcPr>
          <w:p w14:paraId="4CE648CF" w14:textId="3B94FDF2" w:rsidR="00E435CB" w:rsidRDefault="00E435CB" w:rsidP="00E435CB">
            <w:pPr>
              <w:jc w:val="center"/>
            </w:pPr>
            <w:r>
              <w:t>90</w:t>
            </w:r>
          </w:p>
        </w:tc>
      </w:tr>
      <w:tr w:rsidR="00E435CB" w14:paraId="2A234A69" w14:textId="77777777" w:rsidTr="00E435CB">
        <w:trPr>
          <w:jc w:val="center"/>
        </w:trPr>
        <w:tc>
          <w:tcPr>
            <w:tcW w:w="1345" w:type="dxa"/>
            <w:vAlign w:val="center"/>
          </w:tcPr>
          <w:p w14:paraId="1C5BF649" w14:textId="353CF12E" w:rsidR="00E435CB" w:rsidRDefault="00E435CB" w:rsidP="00E435CB">
            <w:pPr>
              <w:jc w:val="center"/>
            </w:pPr>
            <w:r>
              <w:t>90</w:t>
            </w:r>
          </w:p>
        </w:tc>
        <w:tc>
          <w:tcPr>
            <w:tcW w:w="1260" w:type="dxa"/>
            <w:vAlign w:val="center"/>
          </w:tcPr>
          <w:p w14:paraId="0F041195" w14:textId="241946A4" w:rsidR="00E435CB" w:rsidRDefault="00E435CB" w:rsidP="00E435CB">
            <w:pPr>
              <w:jc w:val="center"/>
            </w:pPr>
            <w:r>
              <w:t>90</w:t>
            </w:r>
          </w:p>
        </w:tc>
      </w:tr>
      <w:tr w:rsidR="00E435CB" w14:paraId="097685A3" w14:textId="77777777" w:rsidTr="00E435CB">
        <w:trPr>
          <w:jc w:val="center"/>
        </w:trPr>
        <w:tc>
          <w:tcPr>
            <w:tcW w:w="1345" w:type="dxa"/>
            <w:vAlign w:val="center"/>
          </w:tcPr>
          <w:p w14:paraId="26EA6A59" w14:textId="08A67A03" w:rsidR="00E435CB" w:rsidRDefault="00E435CB" w:rsidP="00E435CB">
            <w:pPr>
              <w:jc w:val="center"/>
            </w:pPr>
            <w:r>
              <w:t>120</w:t>
            </w:r>
          </w:p>
        </w:tc>
        <w:tc>
          <w:tcPr>
            <w:tcW w:w="1260" w:type="dxa"/>
            <w:vAlign w:val="center"/>
          </w:tcPr>
          <w:p w14:paraId="09FEA7C2" w14:textId="787E58FC" w:rsidR="00E435CB" w:rsidRDefault="00E435CB" w:rsidP="00E435CB">
            <w:pPr>
              <w:jc w:val="center"/>
            </w:pPr>
            <w:r>
              <w:t>90</w:t>
            </w:r>
          </w:p>
        </w:tc>
      </w:tr>
      <w:tr w:rsidR="00E435CB" w14:paraId="2413F3BB" w14:textId="77777777" w:rsidTr="00E435CB">
        <w:trPr>
          <w:jc w:val="center"/>
        </w:trPr>
        <w:tc>
          <w:tcPr>
            <w:tcW w:w="1345" w:type="dxa"/>
            <w:vAlign w:val="center"/>
          </w:tcPr>
          <w:p w14:paraId="7B5EA0FD" w14:textId="4A6051A3" w:rsidR="00E435CB" w:rsidRDefault="00E435CB" w:rsidP="00E435CB">
            <w:pPr>
              <w:jc w:val="center"/>
            </w:pPr>
            <w:r>
              <w:t>150</w:t>
            </w:r>
          </w:p>
        </w:tc>
        <w:tc>
          <w:tcPr>
            <w:tcW w:w="1260" w:type="dxa"/>
            <w:vAlign w:val="center"/>
          </w:tcPr>
          <w:p w14:paraId="785305D7" w14:textId="71062974" w:rsidR="00E435CB" w:rsidRDefault="00E435CB" w:rsidP="00E435CB">
            <w:pPr>
              <w:jc w:val="center"/>
            </w:pPr>
            <w:r>
              <w:t>90</w:t>
            </w:r>
          </w:p>
        </w:tc>
      </w:tr>
    </w:tbl>
    <w:p w14:paraId="67976578" w14:textId="09CB09F3" w:rsidR="005B3B91" w:rsidRDefault="00BC5DBF" w:rsidP="005B3B91">
      <w:r>
        <w:t xml:space="preserve">It should be noted that the above system implementation is merely an example and that systems with other probe locations and fewer number of probes are possible. </w:t>
      </w:r>
    </w:p>
    <w:p w14:paraId="4D4970FD" w14:textId="3846FC9C" w:rsidR="00BC5DBF" w:rsidRDefault="00BC5DBF" w:rsidP="005B3B91">
      <w:r>
        <w:t xml:space="preserve">While the QoQZ </w:t>
      </w:r>
      <w:r w:rsidR="002557AB">
        <w:t xml:space="preserve">applicability </w:t>
      </w:r>
      <w:r>
        <w:t xml:space="preserve">has been defined in </w:t>
      </w:r>
      <w:r>
        <w:fldChar w:fldCharType="begin"/>
      </w:r>
      <w:r>
        <w:instrText xml:space="preserve"> REF _Ref47599131 \r \h </w:instrText>
      </w:r>
      <w:r>
        <w:fldChar w:fldCharType="separate"/>
      </w:r>
      <w:r w:rsidR="005D275B">
        <w:t>[2]</w:t>
      </w:r>
      <w:r>
        <w:fldChar w:fldCharType="end"/>
      </w:r>
      <w:r>
        <w:t xml:space="preserve">, </w:t>
      </w:r>
    </w:p>
    <w:tbl>
      <w:tblPr>
        <w:tblStyle w:val="TableGrid"/>
        <w:tblW w:w="0" w:type="auto"/>
        <w:tblLook w:val="04A0" w:firstRow="1" w:lastRow="0" w:firstColumn="1" w:lastColumn="0" w:noHBand="0" w:noVBand="1"/>
      </w:tblPr>
      <w:tblGrid>
        <w:gridCol w:w="9631"/>
      </w:tblGrid>
      <w:tr w:rsidR="00BC5DBF" w14:paraId="6FD02DC3" w14:textId="77777777" w:rsidTr="00BC5DBF">
        <w:tc>
          <w:tcPr>
            <w:tcW w:w="9631" w:type="dxa"/>
          </w:tcPr>
          <w:p w14:paraId="20787CEA" w14:textId="77777777" w:rsidR="00BC5DBF" w:rsidRPr="00096EAB" w:rsidRDefault="00BC5DBF" w:rsidP="00BC5DBF">
            <w:pPr>
              <w:pStyle w:val="Heading5"/>
              <w:rPr>
                <w:lang w:eastAsia="ja-JP"/>
              </w:rPr>
            </w:pPr>
            <w:bookmarkStart w:id="6" w:name="_Toc27749917"/>
            <w:r w:rsidRPr="00096EAB">
              <w:rPr>
                <w:lang w:eastAsia="ja-JP"/>
              </w:rPr>
              <w:t>7.1.3.2.4</w:t>
            </w:r>
            <w:r w:rsidRPr="00096EAB">
              <w:rPr>
                <w:lang w:eastAsia="ja-JP"/>
              </w:rPr>
              <w:tab/>
              <w:t>Quality of the quiet zone</w:t>
            </w:r>
            <w:bookmarkEnd w:id="6"/>
          </w:p>
          <w:p w14:paraId="495CE636" w14:textId="77777777" w:rsidR="00BC5DBF" w:rsidRPr="00096EAB" w:rsidRDefault="00BC5DBF" w:rsidP="00BC5DBF">
            <w:r w:rsidRPr="00096EAB">
              <w:t>The quality of the quiet zone for the RRM measurement setup based on DFF is described in B.2.2.3.</w:t>
            </w:r>
          </w:p>
          <w:p w14:paraId="0BF89138" w14:textId="77777777" w:rsidR="00BC5DBF" w:rsidRPr="00096EAB" w:rsidRDefault="00BC5DBF" w:rsidP="00BC5DBF">
            <w:r w:rsidRPr="00096EAB">
              <w:t>The quality of the quiet zone for the RRM measurement setup based on simplified DFF is described in B.2.3.3.</w:t>
            </w:r>
          </w:p>
          <w:p w14:paraId="59E7BE86" w14:textId="77777777" w:rsidR="00BC5DBF" w:rsidRPr="00096EAB" w:rsidRDefault="00BC5DBF" w:rsidP="00BC5DBF">
            <w:r w:rsidRPr="00096EAB">
              <w:t>The quality of the quiet zone for the RRM measurement setup based on IFF is described in B.2.4.3.</w:t>
            </w:r>
          </w:p>
          <w:p w14:paraId="2A8508D3" w14:textId="77777777" w:rsidR="00BC5DBF" w:rsidRPr="00096EAB" w:rsidRDefault="00BC5DBF" w:rsidP="00BC5DBF">
            <w:r w:rsidRPr="00096EAB">
              <w:t>The quality of the quiet zone for the RRM measurement setup based on enhanced IFF is FFS.</w:t>
            </w:r>
          </w:p>
          <w:p w14:paraId="15581952" w14:textId="298B6318" w:rsidR="00BC5DBF" w:rsidRDefault="00BC5DBF" w:rsidP="005B3B91">
            <w:pPr>
              <w:rPr>
                <w:lang w:eastAsia="ja-JP"/>
              </w:rPr>
            </w:pPr>
            <w:r w:rsidRPr="00096EAB">
              <w:t xml:space="preserve">The quality of the quiet zone for the RRM measurement setup based on </w:t>
            </w:r>
            <w:r w:rsidRPr="00096EAB">
              <w:rPr>
                <w:lang w:eastAsia="ja-JP"/>
              </w:rPr>
              <w:t>IFF+DFF</w:t>
            </w:r>
            <w:r w:rsidRPr="00096EAB">
              <w:t xml:space="preserve"> is FFS.</w:t>
            </w:r>
          </w:p>
        </w:tc>
      </w:tr>
    </w:tbl>
    <w:p w14:paraId="7DE229D3" w14:textId="7854D028" w:rsidR="007D362C" w:rsidRDefault="00BC5DBF" w:rsidP="007D362C">
      <w:r>
        <w:t xml:space="preserve">we believe that additional clarifications are needed </w:t>
      </w:r>
      <w:r w:rsidR="00CC66EA">
        <w:t xml:space="preserve">for 2 AoA RRM </w:t>
      </w:r>
      <w:r>
        <w:t xml:space="preserve">as the QoQZ procedures </w:t>
      </w:r>
      <w:r w:rsidR="007D362C">
        <w:t xml:space="preserve">for DFF and IFF </w:t>
      </w:r>
      <w:r>
        <w:t>assume just a single probe</w:t>
      </w:r>
      <w:r w:rsidR="007D362C">
        <w:t xml:space="preserve"> related to the re-positioning concept which is outlined in Clause N.3.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D362C" w14:paraId="2F6023E4" w14:textId="77777777" w:rsidTr="002557AB">
        <w:tc>
          <w:tcPr>
            <w:tcW w:w="9631" w:type="dxa"/>
          </w:tcPr>
          <w:p w14:paraId="686B86A0" w14:textId="77777777" w:rsidR="007D362C" w:rsidRPr="00C75948" w:rsidRDefault="007D362C" w:rsidP="002557AB">
            <w:pPr>
              <w:pStyle w:val="Heading1"/>
            </w:pPr>
            <w:bookmarkStart w:id="7" w:name="_Toc21026927"/>
            <w:bookmarkStart w:id="8" w:name="_Toc27744225"/>
            <w:bookmarkStart w:id="9" w:name="_Toc36197396"/>
            <w:bookmarkStart w:id="10" w:name="_Toc36198088"/>
            <w:r w:rsidRPr="00C75948">
              <w:lastRenderedPageBreak/>
              <w:t>N.3</w:t>
            </w:r>
            <w:r w:rsidRPr="00C75948">
              <w:tab/>
              <w:t>DUT positioning guidelines</w:t>
            </w:r>
            <w:bookmarkEnd w:id="7"/>
            <w:bookmarkEnd w:id="8"/>
            <w:bookmarkEnd w:id="9"/>
            <w:bookmarkEnd w:id="10"/>
          </w:p>
          <w:p w14:paraId="00189573" w14:textId="77777777" w:rsidR="007D362C" w:rsidRPr="00C75948" w:rsidRDefault="007D362C" w:rsidP="002557AB">
            <w:r w:rsidRPr="00C75948">
              <w:t>The centre of the reference coordinate system shall be aligned with the geometric centre of the DUT in order to minimize the offset between antenna arrays integrated at any position of the UE and the centre of the quiet zone.</w:t>
            </w:r>
          </w:p>
          <w:p w14:paraId="4A2A10C7" w14:textId="77777777" w:rsidR="007D362C" w:rsidRPr="00C75948" w:rsidRDefault="007D362C" w:rsidP="002557AB">
            <w:r w:rsidRPr="00C75948">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4AD27E62" w14:textId="77777777" w:rsidR="007D362C" w:rsidRPr="00C75948" w:rsidRDefault="007D362C" w:rsidP="002557AB">
            <w:pPr>
              <w:pStyle w:val="TH"/>
            </w:pPr>
            <w:r w:rsidRPr="00C75948">
              <w:rPr>
                <w:noProof/>
              </w:rPr>
              <w:drawing>
                <wp:inline distT="0" distB="0" distL="0" distR="0" wp14:anchorId="164DB407" wp14:editId="3E002DFC">
                  <wp:extent cx="4114800" cy="27203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2720340"/>
                          </a:xfrm>
                          <a:prstGeom prst="rect">
                            <a:avLst/>
                          </a:prstGeom>
                          <a:noFill/>
                          <a:ln>
                            <a:noFill/>
                          </a:ln>
                        </pic:spPr>
                      </pic:pic>
                    </a:graphicData>
                  </a:graphic>
                </wp:inline>
              </w:drawing>
            </w:r>
          </w:p>
          <w:p w14:paraId="08473FC9" w14:textId="77777777" w:rsidR="007D362C" w:rsidRPr="00C75948" w:rsidRDefault="007D362C" w:rsidP="002557AB">
            <w:pPr>
              <w:pStyle w:val="TF"/>
            </w:pPr>
            <w:r w:rsidRPr="00C75948">
              <w:t>Figure N.3-1: DUT re-positioning for an example of distributed-axes system</w:t>
            </w:r>
          </w:p>
          <w:p w14:paraId="3066AEC1" w14:textId="77777777" w:rsidR="007D362C" w:rsidRPr="00C75948" w:rsidRDefault="007D362C" w:rsidP="002557AB"/>
          <w:p w14:paraId="6E4AE672" w14:textId="77777777" w:rsidR="007D362C" w:rsidRPr="00C75948" w:rsidRDefault="007D362C" w:rsidP="002557AB">
            <w:pPr>
              <w:pStyle w:val="TH"/>
            </w:pPr>
            <w:bookmarkStart w:id="11" w:name="_Ref521493134"/>
            <w:r w:rsidRPr="00C75948">
              <w:rPr>
                <w:noProof/>
              </w:rPr>
              <w:drawing>
                <wp:inline distT="0" distB="0" distL="0" distR="0" wp14:anchorId="27F0F44A" wp14:editId="2959F27D">
                  <wp:extent cx="5486400" cy="21193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119357"/>
                          </a:xfrm>
                          <a:prstGeom prst="rect">
                            <a:avLst/>
                          </a:prstGeom>
                          <a:noFill/>
                          <a:ln>
                            <a:noFill/>
                          </a:ln>
                        </pic:spPr>
                      </pic:pic>
                    </a:graphicData>
                  </a:graphic>
                </wp:inline>
              </w:drawing>
            </w:r>
          </w:p>
          <w:bookmarkEnd w:id="11"/>
          <w:p w14:paraId="4A77966E" w14:textId="77777777" w:rsidR="007D362C" w:rsidRPr="00C75948" w:rsidRDefault="007D362C" w:rsidP="002557AB">
            <w:pPr>
              <w:pStyle w:val="TF"/>
            </w:pPr>
            <w:r w:rsidRPr="00C75948">
              <w:t>Figure N.3-2: DUT re-positioning for an example of combined-axes system</w:t>
            </w:r>
          </w:p>
          <w:p w14:paraId="68D2CCE8" w14:textId="77777777" w:rsidR="007D362C" w:rsidRPr="00C75948" w:rsidRDefault="007D362C" w:rsidP="002557AB"/>
          <w:p w14:paraId="7A0BBD0A" w14:textId="77777777" w:rsidR="007D362C" w:rsidRDefault="007D362C" w:rsidP="002557AB">
            <w:r w:rsidRPr="00C75948">
              <w:t xml:space="preserve">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w:t>
            </w:r>
            <w:r w:rsidRPr="00C75948">
              <w:lastRenderedPageBreak/>
              <w:t>the pedestal is in the measurement path only when measuring the back-hemisphere. No re-positioning during the TRP measurement is required.</w:t>
            </w:r>
          </w:p>
        </w:tc>
      </w:tr>
    </w:tbl>
    <w:p w14:paraId="1E7B5E6C" w14:textId="3AA084B8" w:rsidR="007D362C" w:rsidRDefault="007D362C" w:rsidP="005B3B91"/>
    <w:p w14:paraId="5BE03B57" w14:textId="5D1AE21C" w:rsidR="00D91F3E" w:rsidRDefault="007D362C" w:rsidP="005B3B91">
      <w:r>
        <w:t>When the re-positioning concept is applied</w:t>
      </w:r>
      <w:r w:rsidR="00786BA3">
        <w:t xml:space="preserve"> to UE RF or 1 AoA RRM test cases</w:t>
      </w:r>
      <w:r>
        <w:t xml:space="preserve">, the test cases </w:t>
      </w:r>
      <w:r w:rsidR="00D91F3E">
        <w:t xml:space="preserve">shall make sure </w:t>
      </w:r>
    </w:p>
    <w:p w14:paraId="3B1056A5" w14:textId="43330CA2" w:rsidR="007D362C" w:rsidRDefault="00D91F3E" w:rsidP="00D91F3E">
      <w:pPr>
        <w:pStyle w:val="ListParagraph"/>
        <w:numPr>
          <w:ilvl w:val="0"/>
          <w:numId w:val="40"/>
        </w:numPr>
        <w:rPr>
          <w:rFonts w:ascii="Times New Roman" w:eastAsia="Malgun Gothic" w:hAnsi="Times New Roman"/>
          <w:sz w:val="20"/>
          <w:szCs w:val="20"/>
          <w:lang w:val="en-GB"/>
        </w:rPr>
      </w:pPr>
      <w:r>
        <w:rPr>
          <w:rFonts w:ascii="Times New Roman" w:eastAsia="Malgun Gothic" w:hAnsi="Times New Roman"/>
          <w:sz w:val="20"/>
          <w:szCs w:val="20"/>
          <w:lang w:val="en-GB"/>
        </w:rPr>
        <w:t>f</w:t>
      </w:r>
      <w:r w:rsidRPr="00D91F3E">
        <w:rPr>
          <w:rFonts w:ascii="Times New Roman" w:eastAsia="Malgun Gothic" w:hAnsi="Times New Roman"/>
          <w:sz w:val="20"/>
          <w:szCs w:val="20"/>
          <w:lang w:val="en-GB"/>
        </w:rPr>
        <w:t>or RX TCs: that DL signals shall be applied only from directions within the yellow highlighted hemisphere</w:t>
      </w:r>
      <w:r w:rsidR="00786BA3">
        <w:rPr>
          <w:rFonts w:ascii="Times New Roman" w:eastAsia="Malgun Gothic" w:hAnsi="Times New Roman"/>
          <w:sz w:val="20"/>
          <w:szCs w:val="20"/>
          <w:lang w:val="en-GB"/>
        </w:rPr>
        <w:t xml:space="preserve"> </w:t>
      </w:r>
      <w:r w:rsidR="00786BA3" w:rsidRPr="00786BA3">
        <w:rPr>
          <w:rFonts w:ascii="Times New Roman" w:eastAsia="Malgun Gothic" w:hAnsi="Times New Roman"/>
          <w:sz w:val="20"/>
          <w:szCs w:val="20"/>
          <w:lang w:val="en-GB"/>
        </w:rPr>
        <w:t xml:space="preserve">(with </w:t>
      </w:r>
      <w:r w:rsidR="00786BA3" w:rsidRPr="00786BA3">
        <w:rPr>
          <w:rFonts w:ascii="Symbol" w:eastAsia="Malgun Gothic" w:hAnsi="Symbol"/>
          <w:sz w:val="20"/>
          <w:szCs w:val="20"/>
          <w:lang w:val="en-GB"/>
        </w:rPr>
        <w:t>q</w:t>
      </w:r>
      <w:r w:rsidR="00786BA3" w:rsidRPr="00786BA3">
        <w:rPr>
          <w:rFonts w:ascii="Times New Roman" w:eastAsia="Malgun Gothic" w:hAnsi="Times New Roman"/>
          <w:sz w:val="20"/>
          <w:szCs w:val="20"/>
          <w:lang w:val="en-GB"/>
        </w:rPr>
        <w:t>≤90</w:t>
      </w:r>
      <w:r w:rsidR="00786BA3" w:rsidRPr="00786BA3">
        <w:rPr>
          <w:rFonts w:ascii="Times New Roman" w:eastAsia="Malgun Gothic" w:hAnsi="Times New Roman"/>
          <w:sz w:val="20"/>
          <w:szCs w:val="20"/>
          <w:vertAlign w:val="superscript"/>
          <w:lang w:val="en-GB"/>
        </w:rPr>
        <w:t>o</w:t>
      </w:r>
      <w:r w:rsidR="00786BA3" w:rsidRPr="00786BA3">
        <w:rPr>
          <w:rFonts w:ascii="Times New Roman" w:eastAsia="Malgun Gothic" w:hAnsi="Times New Roman"/>
          <w:sz w:val="20"/>
          <w:szCs w:val="20"/>
          <w:lang w:val="en-GB"/>
        </w:rPr>
        <w:t>)</w:t>
      </w:r>
    </w:p>
    <w:p w14:paraId="762B5AA6" w14:textId="0F9A8B64" w:rsidR="00D91F3E" w:rsidRPr="00D91F3E" w:rsidRDefault="00D91F3E" w:rsidP="00D91F3E">
      <w:pPr>
        <w:pStyle w:val="ListParagraph"/>
        <w:numPr>
          <w:ilvl w:val="0"/>
          <w:numId w:val="40"/>
        </w:numPr>
        <w:rPr>
          <w:rFonts w:ascii="Times New Roman" w:eastAsia="Malgun Gothic" w:hAnsi="Times New Roman"/>
          <w:sz w:val="20"/>
          <w:szCs w:val="20"/>
          <w:lang w:val="en-GB"/>
        </w:rPr>
      </w:pPr>
      <w:r>
        <w:rPr>
          <w:rFonts w:ascii="Times New Roman" w:eastAsia="Malgun Gothic" w:hAnsi="Times New Roman"/>
          <w:sz w:val="20"/>
          <w:szCs w:val="20"/>
          <w:lang w:val="en-GB"/>
        </w:rPr>
        <w:t>f</w:t>
      </w:r>
      <w:r w:rsidRPr="00D91F3E">
        <w:rPr>
          <w:rFonts w:ascii="Times New Roman" w:eastAsia="Malgun Gothic" w:hAnsi="Times New Roman"/>
          <w:sz w:val="20"/>
          <w:szCs w:val="20"/>
          <w:lang w:val="en-GB"/>
        </w:rPr>
        <w:t xml:space="preserve">or </w:t>
      </w:r>
      <w:r>
        <w:rPr>
          <w:rFonts w:ascii="Times New Roman" w:eastAsia="Malgun Gothic" w:hAnsi="Times New Roman"/>
          <w:sz w:val="20"/>
          <w:szCs w:val="20"/>
          <w:lang w:val="en-GB"/>
        </w:rPr>
        <w:t>T</w:t>
      </w:r>
      <w:r w:rsidRPr="00D91F3E">
        <w:rPr>
          <w:rFonts w:ascii="Times New Roman" w:eastAsia="Malgun Gothic" w:hAnsi="Times New Roman"/>
          <w:sz w:val="20"/>
          <w:szCs w:val="20"/>
          <w:lang w:val="en-GB"/>
        </w:rPr>
        <w:t xml:space="preserve">X TCs: that </w:t>
      </w:r>
      <w:r>
        <w:rPr>
          <w:rFonts w:ascii="Times New Roman" w:eastAsia="Malgun Gothic" w:hAnsi="Times New Roman"/>
          <w:sz w:val="20"/>
          <w:szCs w:val="20"/>
          <w:lang w:val="en-GB"/>
        </w:rPr>
        <w:t>UL</w:t>
      </w:r>
      <w:r w:rsidRPr="00D91F3E">
        <w:rPr>
          <w:rFonts w:ascii="Times New Roman" w:eastAsia="Malgun Gothic" w:hAnsi="Times New Roman"/>
          <w:sz w:val="20"/>
          <w:szCs w:val="20"/>
          <w:lang w:val="en-GB"/>
        </w:rPr>
        <w:t xml:space="preserve"> signals shall be </w:t>
      </w:r>
      <w:r>
        <w:rPr>
          <w:rFonts w:ascii="Times New Roman" w:eastAsia="Malgun Gothic" w:hAnsi="Times New Roman"/>
          <w:sz w:val="20"/>
          <w:szCs w:val="20"/>
          <w:lang w:val="en-GB"/>
        </w:rPr>
        <w:t>measured</w:t>
      </w:r>
      <w:r w:rsidRPr="00D91F3E">
        <w:rPr>
          <w:rFonts w:ascii="Times New Roman" w:eastAsia="Malgun Gothic" w:hAnsi="Times New Roman"/>
          <w:sz w:val="20"/>
          <w:szCs w:val="20"/>
          <w:lang w:val="en-GB"/>
        </w:rPr>
        <w:t xml:space="preserve"> only from directions within the yellow highlighted hemisphere</w:t>
      </w:r>
      <w:r w:rsidR="00786BA3">
        <w:rPr>
          <w:rFonts w:ascii="Times New Roman" w:eastAsia="Malgun Gothic" w:hAnsi="Times New Roman"/>
          <w:sz w:val="20"/>
          <w:szCs w:val="20"/>
          <w:lang w:val="en-GB"/>
        </w:rPr>
        <w:t xml:space="preserve"> </w:t>
      </w:r>
      <w:r w:rsidR="00786BA3" w:rsidRPr="00786BA3">
        <w:rPr>
          <w:rFonts w:ascii="Times New Roman" w:eastAsia="Malgun Gothic" w:hAnsi="Times New Roman"/>
          <w:sz w:val="20"/>
          <w:szCs w:val="20"/>
          <w:lang w:val="en-GB"/>
        </w:rPr>
        <w:t xml:space="preserve">(with </w:t>
      </w:r>
      <w:r w:rsidR="00786BA3" w:rsidRPr="00786BA3">
        <w:rPr>
          <w:rFonts w:ascii="Symbol" w:eastAsia="Malgun Gothic" w:hAnsi="Symbol"/>
          <w:sz w:val="20"/>
          <w:szCs w:val="20"/>
          <w:lang w:val="en-GB"/>
        </w:rPr>
        <w:t>q</w:t>
      </w:r>
      <w:r w:rsidR="00786BA3" w:rsidRPr="00786BA3">
        <w:rPr>
          <w:rFonts w:ascii="Times New Roman" w:eastAsia="Malgun Gothic" w:hAnsi="Times New Roman"/>
          <w:sz w:val="20"/>
          <w:szCs w:val="20"/>
          <w:lang w:val="en-GB"/>
        </w:rPr>
        <w:t>≤90</w:t>
      </w:r>
      <w:r w:rsidR="00786BA3" w:rsidRPr="00786BA3">
        <w:rPr>
          <w:rFonts w:ascii="Times New Roman" w:eastAsia="Malgun Gothic" w:hAnsi="Times New Roman"/>
          <w:sz w:val="20"/>
          <w:szCs w:val="20"/>
          <w:vertAlign w:val="superscript"/>
          <w:lang w:val="en-GB"/>
        </w:rPr>
        <w:t>o</w:t>
      </w:r>
      <w:r w:rsidR="00786BA3" w:rsidRPr="00786BA3">
        <w:rPr>
          <w:rFonts w:ascii="Times New Roman" w:eastAsia="Malgun Gothic" w:hAnsi="Times New Roman"/>
          <w:sz w:val="20"/>
          <w:szCs w:val="20"/>
          <w:lang w:val="en-GB"/>
        </w:rPr>
        <w:t>)</w:t>
      </w:r>
    </w:p>
    <w:p w14:paraId="69B23F18" w14:textId="6102DD4D" w:rsidR="00D91F3E" w:rsidRDefault="00D91F3E" w:rsidP="00D91F3E">
      <w:r>
        <w:t>so that the QoQZ validation procedure</w:t>
      </w:r>
      <w:r w:rsidR="00CA50C7">
        <w:t xml:space="preserve"> can be performed with the limited set of angles that would avoid the reference horn antenna to point towards the back hemisphere.</w:t>
      </w:r>
    </w:p>
    <w:p w14:paraId="45F0C982" w14:textId="227D6701" w:rsidR="00CA50C7" w:rsidRDefault="00CA50C7" w:rsidP="00D91F3E">
      <w:r>
        <w:fldChar w:fldCharType="begin"/>
      </w:r>
      <w:r>
        <w:instrText xml:space="preserve"> REF _Ref47603094 \h </w:instrText>
      </w:r>
      <w:r>
        <w:fldChar w:fldCharType="separate"/>
      </w:r>
      <w:r w:rsidR="005D275B">
        <w:t xml:space="preserve">Figure </w:t>
      </w:r>
      <w:r w:rsidR="005D275B">
        <w:rPr>
          <w:noProof/>
        </w:rPr>
        <w:t>2</w:t>
      </w:r>
      <w:r>
        <w:fldChar w:fldCharType="end"/>
      </w:r>
      <w:r>
        <w:t xml:space="preserve"> illustrates the same sample RRM system supporting 2 AoAs as in </w:t>
      </w:r>
      <w:r>
        <w:fldChar w:fldCharType="begin"/>
      </w:r>
      <w:r>
        <w:instrText xml:space="preserve"> REF _Ref47599672 \h </w:instrText>
      </w:r>
      <w:r>
        <w:fldChar w:fldCharType="separate"/>
      </w:r>
      <w:r w:rsidR="005D275B">
        <w:t xml:space="preserve">Figure </w:t>
      </w:r>
      <w:r w:rsidR="005D275B">
        <w:rPr>
          <w:noProof/>
        </w:rPr>
        <w:t>1</w:t>
      </w:r>
      <w:r>
        <w:fldChar w:fldCharType="end"/>
      </w:r>
      <w:r>
        <w:t xml:space="preserve"> but with the yellow highlighted hemisphere </w:t>
      </w:r>
      <w:r w:rsidR="00786BA3" w:rsidRPr="00786BA3">
        <w:t xml:space="preserve">(with </w:t>
      </w:r>
      <w:r w:rsidR="00786BA3" w:rsidRPr="00786BA3">
        <w:rPr>
          <w:rFonts w:ascii="Symbol" w:hAnsi="Symbol"/>
        </w:rPr>
        <w:t>q</w:t>
      </w:r>
      <w:r w:rsidR="00786BA3" w:rsidRPr="00786BA3">
        <w:t>≤90</w:t>
      </w:r>
      <w:r w:rsidR="00786BA3" w:rsidRPr="00786BA3">
        <w:rPr>
          <w:vertAlign w:val="superscript"/>
        </w:rPr>
        <w:t>o</w:t>
      </w:r>
      <w:r w:rsidR="00786BA3" w:rsidRPr="00786BA3">
        <w:t>)</w:t>
      </w:r>
      <w:r w:rsidR="00786BA3">
        <w:t xml:space="preserve"> </w:t>
      </w:r>
      <w:r>
        <w:t>facing away from the positioner</w:t>
      </w:r>
      <w:r w:rsidR="00C80614">
        <w:t xml:space="preserve"> mast</w:t>
      </w:r>
      <w:r>
        <w:t xml:space="preserve">. </w:t>
      </w:r>
      <w:r w:rsidR="00C80614">
        <w:t>Applying the previous intent of the re-positioning concept that no signals to/from outside the yellow highlighted hemisphere shall be considered</w:t>
      </w:r>
      <w:r w:rsidR="00786BA3">
        <w:t>, it is clear that</w:t>
      </w:r>
      <w:r w:rsidR="00805FA5">
        <w:t xml:space="preserve"> two probes do not meet this intent</w:t>
      </w:r>
      <w:r w:rsidR="00C80614">
        <w:t xml:space="preserve">. </w:t>
      </w:r>
    </w:p>
    <w:p w14:paraId="218792AA" w14:textId="2BEB534A" w:rsidR="00CA50C7" w:rsidRDefault="00CA50C7" w:rsidP="00CA50C7">
      <w:pPr>
        <w:pStyle w:val="Caption"/>
        <w:jc w:val="center"/>
      </w:pPr>
      <w:r w:rsidRPr="00CA50C7">
        <w:rPr>
          <w:noProof/>
        </w:rPr>
        <w:drawing>
          <wp:inline distT="0" distB="0" distL="0" distR="0" wp14:anchorId="71DDF7C2" wp14:editId="0B77BCF0">
            <wp:extent cx="2125980" cy="25374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5980" cy="2537460"/>
                    </a:xfrm>
                    <a:prstGeom prst="rect">
                      <a:avLst/>
                    </a:prstGeom>
                    <a:noFill/>
                    <a:ln>
                      <a:noFill/>
                    </a:ln>
                  </pic:spPr>
                </pic:pic>
              </a:graphicData>
            </a:graphic>
          </wp:inline>
        </w:drawing>
      </w:r>
      <w:r w:rsidR="002E2C75">
        <w:rPr>
          <w:noProof/>
        </w:rPr>
        <w:t xml:space="preserve">         </w:t>
      </w:r>
      <w:r w:rsidR="00C80614" w:rsidRPr="00C80614">
        <w:rPr>
          <w:noProof/>
        </w:rPr>
        <w:drawing>
          <wp:inline distT="0" distB="0" distL="0" distR="0" wp14:anchorId="7158139B" wp14:editId="7ADBE89A">
            <wp:extent cx="2844938" cy="25420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938" cy="2542032"/>
                    </a:xfrm>
                    <a:prstGeom prst="rect">
                      <a:avLst/>
                    </a:prstGeom>
                    <a:noFill/>
                    <a:ln>
                      <a:noFill/>
                    </a:ln>
                  </pic:spPr>
                </pic:pic>
              </a:graphicData>
            </a:graphic>
          </wp:inline>
        </w:drawing>
      </w:r>
    </w:p>
    <w:p w14:paraId="691253DB" w14:textId="66A20213" w:rsidR="00CA50C7" w:rsidRDefault="00CA50C7" w:rsidP="00CA50C7">
      <w:pPr>
        <w:pStyle w:val="Caption"/>
        <w:jc w:val="center"/>
      </w:pPr>
      <w:bookmarkStart w:id="12" w:name="_Ref47603094"/>
      <w:r>
        <w:t xml:space="preserve">Figure </w:t>
      </w:r>
      <w:r>
        <w:fldChar w:fldCharType="begin"/>
      </w:r>
      <w:r>
        <w:instrText xml:space="preserve"> SEQ Figure \* ARABIC </w:instrText>
      </w:r>
      <w:r>
        <w:fldChar w:fldCharType="separate"/>
      </w:r>
      <w:r w:rsidR="005D275B">
        <w:rPr>
          <w:noProof/>
        </w:rPr>
        <w:t>2</w:t>
      </w:r>
      <w:r>
        <w:fldChar w:fldCharType="end"/>
      </w:r>
      <w:bookmarkEnd w:id="12"/>
      <w:r>
        <w:t>: Sample RRM system supporting 2 AoA test cases</w:t>
      </w:r>
      <w:r w:rsidR="00C80614">
        <w:t xml:space="preserve">. The hemisphere facing away from the positioner mast is highlighted in yellow. </w:t>
      </w:r>
    </w:p>
    <w:p w14:paraId="5E4E1FD2" w14:textId="77777777" w:rsidR="00CA50C7" w:rsidRPr="00D91F3E" w:rsidRDefault="00CA50C7" w:rsidP="00D91F3E"/>
    <w:p w14:paraId="396E44F6" w14:textId="1683D1E6" w:rsidR="00BC5DBF" w:rsidRDefault="00805FA5" w:rsidP="005B3B91">
      <w:r>
        <w:t>W</w:t>
      </w:r>
      <w:r w:rsidR="00C80614">
        <w:t xml:space="preserve">hen </w:t>
      </w:r>
      <w:r w:rsidR="006E2361">
        <w:t xml:space="preserve">the probes in the back hemisphere are used for any of the 2 AoA test cases, i.e., probes </w:t>
      </w:r>
      <w:r>
        <w:t xml:space="preserve">at </w:t>
      </w:r>
      <w:r w:rsidR="006E2361">
        <w:t>(120</w:t>
      </w:r>
      <w:r w:rsidR="006E2361" w:rsidRPr="006E2361">
        <w:rPr>
          <w:vertAlign w:val="superscript"/>
        </w:rPr>
        <w:t>o</w:t>
      </w:r>
      <w:r w:rsidR="006E2361">
        <w:t>,90</w:t>
      </w:r>
      <w:r w:rsidR="006E2361" w:rsidRPr="006E2361">
        <w:rPr>
          <w:vertAlign w:val="superscript"/>
        </w:rPr>
        <w:t>o</w:t>
      </w:r>
      <w:r w:rsidR="006E2361">
        <w:t xml:space="preserve">) </w:t>
      </w:r>
      <w:r>
        <w:t>or especially</w:t>
      </w:r>
      <w:r w:rsidR="006E2361">
        <w:t xml:space="preserve"> </w:t>
      </w:r>
      <w:r>
        <w:t xml:space="preserve">at </w:t>
      </w:r>
      <w:r w:rsidR="006E2361">
        <w:t>(150</w:t>
      </w:r>
      <w:r w:rsidR="006E2361" w:rsidRPr="006E2361">
        <w:rPr>
          <w:vertAlign w:val="superscript"/>
        </w:rPr>
        <w:t>o</w:t>
      </w:r>
      <w:r w:rsidR="006E2361">
        <w:t>,90</w:t>
      </w:r>
      <w:r w:rsidR="006E2361" w:rsidRPr="006E2361">
        <w:rPr>
          <w:vertAlign w:val="superscript"/>
        </w:rPr>
        <w:t>o</w:t>
      </w:r>
      <w:r w:rsidR="006E2361">
        <w:t xml:space="preserve">), the radiation can be affected by portions of the positioner, e.g., positioner mast. The re-positioning approach for the QoQZ is therefore generally not applicable to RRM 2 AoA </w:t>
      </w:r>
      <w:r w:rsidR="005D275B">
        <w:t>testing</w:t>
      </w:r>
      <w:r w:rsidR="006E2361">
        <w:t>.</w:t>
      </w:r>
    </w:p>
    <w:p w14:paraId="4A0FBCEC" w14:textId="09DFDA02" w:rsidR="006E2361" w:rsidRDefault="006E2361" w:rsidP="006E2361">
      <w:pPr>
        <w:pStyle w:val="Caption"/>
      </w:pPr>
      <w:bookmarkStart w:id="13" w:name="_Ref47607970"/>
      <w:bookmarkStart w:id="14" w:name="_Ref47695254"/>
      <w:r>
        <w:t xml:space="preserve">Observation </w:t>
      </w:r>
      <w:r>
        <w:fldChar w:fldCharType="begin"/>
      </w:r>
      <w:r>
        <w:instrText xml:space="preserve"> SEQ Observation \* ARABIC </w:instrText>
      </w:r>
      <w:r>
        <w:fldChar w:fldCharType="separate"/>
      </w:r>
      <w:r w:rsidR="005D275B">
        <w:rPr>
          <w:noProof/>
        </w:rPr>
        <w:t>1</w:t>
      </w:r>
      <w:r>
        <w:fldChar w:fldCharType="end"/>
      </w:r>
      <w:r>
        <w:t xml:space="preserve">: The re-positioning approach for the QoQZ is </w:t>
      </w:r>
      <w:r w:rsidR="00805FA5">
        <w:t xml:space="preserve">generally </w:t>
      </w:r>
      <w:r>
        <w:t xml:space="preserve">not applicable </w:t>
      </w:r>
      <w:r w:rsidR="005D275B">
        <w:t>to</w:t>
      </w:r>
      <w:r>
        <w:t xml:space="preserve"> RRM 2 AoA </w:t>
      </w:r>
      <w:bookmarkEnd w:id="13"/>
      <w:r w:rsidR="005D275B">
        <w:t>testing</w:t>
      </w:r>
      <w:bookmarkEnd w:id="14"/>
    </w:p>
    <w:p w14:paraId="6802B20E" w14:textId="51DB0328" w:rsidR="004D5B2B" w:rsidRDefault="004D5B2B" w:rsidP="006E2361">
      <w:r>
        <w:t xml:space="preserve">One could argue that the QoQZ MU with re-positioning approach is applicable to the AoAs generated from probes placed within the forward-looking (within </w:t>
      </w:r>
      <w:r w:rsidRPr="004D5B2B">
        <w:rPr>
          <w:rFonts w:ascii="Symbol" w:hAnsi="Symbol"/>
        </w:rPr>
        <w:t>q</w:t>
      </w:r>
      <w:r>
        <w:t>≤90</w:t>
      </w:r>
      <w:r w:rsidRPr="004D5B2B">
        <w:rPr>
          <w:vertAlign w:val="superscript"/>
        </w:rPr>
        <w:t>o</w:t>
      </w:r>
      <w:r>
        <w:t>) hemisphere, i.e., the 30</w:t>
      </w:r>
      <w:r w:rsidRPr="004D5B2B">
        <w:rPr>
          <w:vertAlign w:val="superscript"/>
        </w:rPr>
        <w:t>o</w:t>
      </w:r>
      <w:r>
        <w:t>, 60</w:t>
      </w:r>
      <w:r w:rsidRPr="004D5B2B">
        <w:rPr>
          <w:vertAlign w:val="superscript"/>
        </w:rPr>
        <w:t>o</w:t>
      </w:r>
      <w:r>
        <w:t>, 90</w:t>
      </w:r>
      <w:r w:rsidRPr="004D5B2B">
        <w:rPr>
          <w:vertAlign w:val="superscript"/>
        </w:rPr>
        <w:t>o</w:t>
      </w:r>
      <w:r>
        <w:t xml:space="preserve"> AoAs of the example system in </w:t>
      </w:r>
      <w:r>
        <w:fldChar w:fldCharType="begin"/>
      </w:r>
      <w:r>
        <w:instrText xml:space="preserve"> REF _Ref47599672 \h </w:instrText>
      </w:r>
      <w:r>
        <w:fldChar w:fldCharType="separate"/>
      </w:r>
      <w:r w:rsidR="005D275B">
        <w:t xml:space="preserve">Figure </w:t>
      </w:r>
      <w:r w:rsidR="005D275B">
        <w:rPr>
          <w:noProof/>
        </w:rPr>
        <w:t>1</w:t>
      </w:r>
      <w:r>
        <w:fldChar w:fldCharType="end"/>
      </w:r>
      <w:r>
        <w:t>, and that the QoQZ MU without re-positioning applies to AoAs generated from probes that are not all contained in the forward-looking hemisphere, i.e., the 120</w:t>
      </w:r>
      <w:r w:rsidRPr="004D5B2B">
        <w:rPr>
          <w:vertAlign w:val="superscript"/>
        </w:rPr>
        <w:t>o</w:t>
      </w:r>
      <w:r>
        <w:t xml:space="preserve"> and 150</w:t>
      </w:r>
      <w:r w:rsidRPr="004D5B2B">
        <w:rPr>
          <w:vertAlign w:val="superscript"/>
        </w:rPr>
        <w:t>o</w:t>
      </w:r>
      <w:r>
        <w:t xml:space="preserve"> AoAs</w:t>
      </w:r>
      <w:r w:rsidRPr="004D5B2B">
        <w:t xml:space="preserve"> </w:t>
      </w:r>
      <w:r>
        <w:t xml:space="preserve">of the example system in </w:t>
      </w:r>
      <w:r>
        <w:fldChar w:fldCharType="begin"/>
      </w:r>
      <w:r>
        <w:instrText xml:space="preserve"> REF _Ref47599672 \h </w:instrText>
      </w:r>
      <w:r>
        <w:fldChar w:fldCharType="separate"/>
      </w:r>
      <w:r w:rsidR="005D275B">
        <w:t xml:space="preserve">Figure </w:t>
      </w:r>
      <w:r w:rsidR="005D275B">
        <w:rPr>
          <w:noProof/>
        </w:rPr>
        <w:t>1</w:t>
      </w:r>
      <w:r>
        <w:fldChar w:fldCharType="end"/>
      </w:r>
      <w:r>
        <w:t>. However, a more generic approach, i.e., one that applies to all AoAs regardless of angular separation would be simpler</w:t>
      </w:r>
      <w:r w:rsidR="00805FA5">
        <w:t xml:space="preserve"> and less complex</w:t>
      </w:r>
      <w:r>
        <w:t>.</w:t>
      </w:r>
      <w:r w:rsidRPr="004D5B2B">
        <w:t xml:space="preserve"> </w:t>
      </w:r>
      <w:r>
        <w:t>It is therefore proposed that the QoQZ validation</w:t>
      </w:r>
      <w:r w:rsidR="00805FA5">
        <w:t xml:space="preserve"> and MTSU</w:t>
      </w:r>
      <w:r>
        <w:t xml:space="preserve"> for RRM 2 AoA test cases does not consider the re-positioning concept.</w:t>
      </w:r>
    </w:p>
    <w:p w14:paraId="4B05BB28" w14:textId="44A32149" w:rsidR="006E2361" w:rsidRPr="006E2361" w:rsidRDefault="004D5B2B" w:rsidP="004D5B2B">
      <w:pPr>
        <w:pStyle w:val="Caption"/>
      </w:pPr>
      <w:bookmarkStart w:id="15" w:name="_Ref47607971"/>
      <w:r>
        <w:t xml:space="preserve">Proposal </w:t>
      </w:r>
      <w:r>
        <w:fldChar w:fldCharType="begin"/>
      </w:r>
      <w:r>
        <w:instrText xml:space="preserve"> SEQ Proposal \* ARABIC </w:instrText>
      </w:r>
      <w:r>
        <w:fldChar w:fldCharType="separate"/>
      </w:r>
      <w:r w:rsidR="005D275B">
        <w:rPr>
          <w:noProof/>
        </w:rPr>
        <w:t>1</w:t>
      </w:r>
      <w:r>
        <w:fldChar w:fldCharType="end"/>
      </w:r>
      <w:r>
        <w:t xml:space="preserve">: </w:t>
      </w:r>
      <w:r w:rsidR="006E2361">
        <w:t xml:space="preserve">It is proposed that </w:t>
      </w:r>
      <w:r>
        <w:t xml:space="preserve">the QoQZ validation </w:t>
      </w:r>
      <w:r w:rsidR="00805FA5">
        <w:t xml:space="preserve">and MTSU </w:t>
      </w:r>
      <w:r w:rsidR="006E2361">
        <w:t>for RRM 2 AoA</w:t>
      </w:r>
      <w:r>
        <w:t xml:space="preserve"> test cases does not consider the re-positioning concept.</w:t>
      </w:r>
      <w:bookmarkEnd w:id="15"/>
    </w:p>
    <w:p w14:paraId="5EAE2F69" w14:textId="45595B9E" w:rsidR="00286F8D" w:rsidRDefault="0049571E" w:rsidP="00286F8D">
      <w:pPr>
        <w:pStyle w:val="Heading1"/>
        <w:ind w:left="567" w:hanging="567"/>
      </w:pPr>
      <w:r>
        <w:lastRenderedPageBreak/>
        <w:t xml:space="preserve">QoQZ MU for </w:t>
      </w:r>
      <w:r w:rsidR="00286F8D">
        <w:t>DFF</w:t>
      </w:r>
      <w:r>
        <w:t xml:space="preserve"> Based 2 AoA RRM</w:t>
      </w:r>
    </w:p>
    <w:bookmarkEnd w:id="2"/>
    <w:p w14:paraId="2D8AA79E" w14:textId="5BC7CB12" w:rsidR="0024384D" w:rsidRDefault="0024384D" w:rsidP="0024384D">
      <w:r>
        <w:t xml:space="preserve">The Direct Far-Field system used for the measurements is </w:t>
      </w:r>
      <w:r w:rsidR="00CA1156">
        <w:t xml:space="preserve">a </w:t>
      </w:r>
      <w:r>
        <w:t>2 AoA capable system with Roll-Over-Azimuth positioning system, i.e., combined-axes system</w:t>
      </w:r>
      <w:r w:rsidR="00CA1156">
        <w:t>, that</w:t>
      </w:r>
      <w:r w:rsidR="00546F31">
        <w:t xml:space="preserve"> meet</w:t>
      </w:r>
      <w:r w:rsidR="00CA1156">
        <w:t>s</w:t>
      </w:r>
      <w:r w:rsidR="00546F31">
        <w:t xml:space="preserve"> the minimum range length requirements defined in </w:t>
      </w:r>
      <w:r w:rsidR="00546F31" w:rsidRPr="00546F31">
        <w:t>B.2.2.4</w:t>
      </w:r>
      <w:r w:rsidR="00546F31">
        <w:t xml:space="preserve"> of </w:t>
      </w:r>
      <w:r w:rsidR="00546F31">
        <w:fldChar w:fldCharType="begin"/>
      </w:r>
      <w:r w:rsidR="00546F31">
        <w:instrText xml:space="preserve"> REF _Ref47599131 \r \h </w:instrText>
      </w:r>
      <w:r w:rsidR="00546F31">
        <w:fldChar w:fldCharType="separate"/>
      </w:r>
      <w:r w:rsidR="005D275B">
        <w:t>[2]</w:t>
      </w:r>
      <w:r w:rsidR="00546F31">
        <w:fldChar w:fldCharType="end"/>
      </w:r>
      <w:r>
        <w:t xml:space="preserve">. </w:t>
      </w:r>
      <w:r w:rsidR="00CA1156">
        <w:t xml:space="preserve">The QoQZ validation was performed with the P0 probe, i.e., the probe placed along the </w:t>
      </w:r>
      <w:r w:rsidR="00CA1156" w:rsidRPr="00CA1156">
        <w:rPr>
          <w:i/>
          <w:iCs/>
        </w:rPr>
        <w:t>z</w:t>
      </w:r>
      <w:r w:rsidR="00CA1156">
        <w:t xml:space="preserve"> axis. </w:t>
      </w:r>
    </w:p>
    <w:p w14:paraId="3B4D3349" w14:textId="47713571" w:rsidR="0024384D" w:rsidRDefault="0024384D" w:rsidP="0024384D">
      <w:bookmarkStart w:id="16" w:name="_Hlk521515304"/>
      <w:r>
        <w:t xml:space="preserve">The procedure outlined in Clause O.2 of </w:t>
      </w:r>
      <w:r>
        <w:fldChar w:fldCharType="begin"/>
      </w:r>
      <w:r>
        <w:instrText xml:space="preserve"> REF _Ref47605628 \r \h </w:instrText>
      </w:r>
      <w:r>
        <w:fldChar w:fldCharType="separate"/>
      </w:r>
      <w:r w:rsidR="005D275B">
        <w:t>[3]</w:t>
      </w:r>
      <w:r>
        <w:fldChar w:fldCharType="end"/>
      </w:r>
      <w:r>
        <w:t xml:space="preserve"> for the combined-axis system was followed in this document. For each of the 7 reference positions, a total number of 7 different device orientations around the </w:t>
      </w:r>
      <w:r w:rsidRPr="0024384D">
        <w:rPr>
          <w:i/>
          <w:iCs/>
        </w:rPr>
        <w:t>y</w:t>
      </w:r>
      <w:r>
        <w:t xml:space="preserve"> axis were performed </w:t>
      </w:r>
      <w:r w:rsidRPr="0024384D">
        <w:rPr>
          <w:u w:val="single"/>
        </w:rPr>
        <w:t>not</w:t>
      </w:r>
      <w:r>
        <w:t xml:space="preserve"> taking into account the device re-positioning allowance</w:t>
      </w:r>
      <w:r w:rsidRPr="005D37A4">
        <w:t xml:space="preserve"> to </w:t>
      </w:r>
      <w:r>
        <w:t>avoid</w:t>
      </w:r>
      <w:r w:rsidRPr="005D37A4">
        <w:t xml:space="preserve"> measurement directions towards areas that likely cause increased signal ripples</w:t>
      </w:r>
      <w:r>
        <w:t>.  In total, 322 ( = (7 rotations around y * 3 rotations around x + 2 measurements towards ±y) * 2 polarizations * 7 reference positions) EIRP scans were performed for each frequency, sufficient to be statistically significant and to accurately estimate the quality of quiet zone MU. Subsequently, the QoQZ MU with the re-positioning concept was calculated</w:t>
      </w:r>
      <w:r w:rsidR="00546F31">
        <w:t xml:space="preserve"> based on the subset of 238 measurements ( = (5 rotations around y * 3 rotations around x + 2 measurements towards ±y) * 2 polarizations * 7 reference positions).</w:t>
      </w:r>
    </w:p>
    <w:bookmarkEnd w:id="16"/>
    <w:p w14:paraId="1BB55E06" w14:textId="7AF5E59F" w:rsidR="0024384D" w:rsidRDefault="0024384D" w:rsidP="0024384D">
      <w:r>
        <w:t xml:space="preserve">The evaluation was performed for a quiet zone size of 30cm as outlined in </w:t>
      </w:r>
      <w:r>
        <w:fldChar w:fldCharType="begin"/>
      </w:r>
      <w:r>
        <w:instrText xml:space="preserve"> REF _Ref521525638 \h </w:instrText>
      </w:r>
      <w:r>
        <w:fldChar w:fldCharType="separate"/>
      </w:r>
      <w:r w:rsidR="005D275B">
        <w:t xml:space="preserve">Figure </w:t>
      </w:r>
      <w:r w:rsidR="005D275B">
        <w:rPr>
          <w:noProof/>
        </w:rPr>
        <w:t>3</w:t>
      </w:r>
      <w:r>
        <w:fldChar w:fldCharType="end"/>
      </w:r>
      <w:r>
        <w:t>.</w:t>
      </w:r>
    </w:p>
    <w:p w14:paraId="17E4D23E" w14:textId="14E10B32" w:rsidR="0024384D" w:rsidRDefault="0024384D" w:rsidP="0024384D">
      <w:pPr>
        <w:spacing w:after="0"/>
        <w:jc w:val="center"/>
      </w:pPr>
      <w:r>
        <w:rPr>
          <w:noProof/>
        </w:rPr>
        <w:drawing>
          <wp:inline distT="0" distB="0" distL="0" distR="0" wp14:anchorId="57AC4286" wp14:editId="418A3EFD">
            <wp:extent cx="5486400" cy="16397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1639797"/>
                    </a:xfrm>
                    <a:prstGeom prst="rect">
                      <a:avLst/>
                    </a:prstGeom>
                    <a:noFill/>
                  </pic:spPr>
                </pic:pic>
              </a:graphicData>
            </a:graphic>
          </wp:inline>
        </w:drawing>
      </w:r>
    </w:p>
    <w:p w14:paraId="406241A1" w14:textId="5E682790" w:rsidR="0024384D" w:rsidRDefault="0024384D" w:rsidP="0024384D">
      <w:pPr>
        <w:pStyle w:val="Caption"/>
        <w:jc w:val="center"/>
      </w:pPr>
      <w:bookmarkStart w:id="17" w:name="_Ref521525638"/>
      <w:r>
        <w:t xml:space="preserve">Figure </w:t>
      </w:r>
      <w:r>
        <w:fldChar w:fldCharType="begin"/>
      </w:r>
      <w:r>
        <w:instrText xml:space="preserve"> SEQ Figure \* ARABIC </w:instrText>
      </w:r>
      <w:r>
        <w:fldChar w:fldCharType="separate"/>
      </w:r>
      <w:r w:rsidR="005D275B">
        <w:rPr>
          <w:noProof/>
        </w:rPr>
        <w:t>3</w:t>
      </w:r>
      <w:r>
        <w:fldChar w:fldCharType="end"/>
      </w:r>
      <w:bookmarkEnd w:id="17"/>
      <w:r>
        <w:t xml:space="preserve">: Illustration of reference points and quiet zone for </w:t>
      </w:r>
      <w:r w:rsidR="005D275B">
        <w:t>D</w:t>
      </w:r>
      <w:r>
        <w:t>FF</w:t>
      </w:r>
    </w:p>
    <w:p w14:paraId="74D2EBF8" w14:textId="7105CB18" w:rsidR="00546F31" w:rsidRDefault="00737083" w:rsidP="00546F31">
      <w:r>
        <w:t xml:space="preserve">EIRP </w:t>
      </w:r>
      <w:r w:rsidR="00546F31">
        <w:t xml:space="preserve">measurements were performed at the three frequencies agreed in </w:t>
      </w:r>
      <w:r w:rsidR="00546F31">
        <w:fldChar w:fldCharType="begin"/>
      </w:r>
      <w:r w:rsidR="00546F31">
        <w:instrText xml:space="preserve"> REF _Ref47606534 \r \h </w:instrText>
      </w:r>
      <w:r w:rsidR="00546F31">
        <w:fldChar w:fldCharType="separate"/>
      </w:r>
      <w:r w:rsidR="005D275B">
        <w:t>[4]</w:t>
      </w:r>
      <w:r w:rsidR="00546F31">
        <w:fldChar w:fldCharType="end"/>
      </w:r>
      <w:r w:rsidR="00546F31">
        <w:t xml:space="preserve">: </w:t>
      </w:r>
      <w:r w:rsidR="00546F31">
        <w:rPr>
          <w:rFonts w:eastAsia="MS Mincho" w:hint="eastAsia"/>
          <w:lang w:eastAsia="ja-JP"/>
        </w:rPr>
        <w:t>23.45 GHz, 32.125GHz and 40.8GHz</w:t>
      </w:r>
      <w:r w:rsidR="00BD0006">
        <w:rPr>
          <w:rFonts w:eastAsia="MS Mincho"/>
          <w:lang w:eastAsia="ja-JP"/>
        </w:rPr>
        <w:t xml:space="preserve"> as well as 44.3 GHz for FR2_C</w:t>
      </w:r>
      <w:r w:rsidR="00546F31">
        <w:t xml:space="preserve">. </w:t>
      </w:r>
    </w:p>
    <w:p w14:paraId="12B2EDBC" w14:textId="585C722B" w:rsidR="00737083" w:rsidRDefault="00737083" w:rsidP="00737083">
      <w:r>
        <w:t xml:space="preserve">The standard deviations for the </w:t>
      </w:r>
      <w:r w:rsidR="00383935">
        <w:t>322</w:t>
      </w:r>
      <w:r>
        <w:t xml:space="preserve"> </w:t>
      </w:r>
      <w:r w:rsidR="00383935">
        <w:t xml:space="preserve">(238) </w:t>
      </w:r>
      <w:r>
        <w:t xml:space="preserve">peak EIRP and TRP measurements </w:t>
      </w:r>
      <w:r w:rsidR="00383935">
        <w:t xml:space="preserve">without (with) the re-positioning concept </w:t>
      </w:r>
      <w:r>
        <w:t xml:space="preserve">are summarized in </w:t>
      </w:r>
      <w:r>
        <w:fldChar w:fldCharType="begin"/>
      </w:r>
      <w:r>
        <w:instrText xml:space="preserve"> REF _Ref521427013 \h </w:instrText>
      </w:r>
      <w:r>
        <w:fldChar w:fldCharType="separate"/>
      </w:r>
      <w:r w:rsidR="005D275B">
        <w:t xml:space="preserve">Table </w:t>
      </w:r>
      <w:r w:rsidR="005D275B">
        <w:rPr>
          <w:noProof/>
        </w:rPr>
        <w:t>2</w:t>
      </w:r>
      <w:r>
        <w:fldChar w:fldCharType="end"/>
      </w:r>
      <w:r>
        <w:t xml:space="preserve"> for EIRP separately for all 7 positions, P1-P7, which corresponds to the MU element “</w:t>
      </w:r>
      <w:r w:rsidRPr="00A62EEA">
        <w:t>Quality of Quiet Zone</w:t>
      </w:r>
      <w:r>
        <w:t>” in the Stage 2: DUT Measurement portion of the MU Table and for just the P1 position which corresponds to the MU element “</w:t>
      </w:r>
      <w:r w:rsidRPr="00A62EEA">
        <w:t>Quality of the Quiet Zone for the calibration process</w:t>
      </w:r>
      <w:r>
        <w:t>” in the Stage 1: Calibration Measurement portion of the MU Table.</w:t>
      </w:r>
    </w:p>
    <w:p w14:paraId="75570AFA" w14:textId="07978FC2" w:rsidR="00737083" w:rsidRDefault="00737083" w:rsidP="00737083">
      <w:pPr>
        <w:pStyle w:val="Caption"/>
        <w:jc w:val="center"/>
      </w:pPr>
      <w:bookmarkStart w:id="18" w:name="_Ref521427013"/>
      <w:bookmarkStart w:id="19" w:name="_Hlk47607401"/>
      <w:r>
        <w:t xml:space="preserve">Table </w:t>
      </w:r>
      <w:r>
        <w:fldChar w:fldCharType="begin"/>
      </w:r>
      <w:r>
        <w:instrText xml:space="preserve"> SEQ Table \* ARABIC </w:instrText>
      </w:r>
      <w:r>
        <w:fldChar w:fldCharType="separate"/>
      </w:r>
      <w:r w:rsidR="005D275B">
        <w:rPr>
          <w:noProof/>
        </w:rPr>
        <w:t>2</w:t>
      </w:r>
      <w:r>
        <w:fldChar w:fldCharType="end"/>
      </w:r>
      <w:bookmarkEnd w:id="18"/>
      <w:r>
        <w:t>: Standard Deviations for EIRP (30cm QZ)</w:t>
      </w:r>
      <w:r w:rsidR="00383935">
        <w:t xml:space="preserve"> with and without re-positioning concept</w:t>
      </w:r>
    </w:p>
    <w:tbl>
      <w:tblPr>
        <w:tblW w:w="9631" w:type="dxa"/>
        <w:jc w:val="center"/>
        <w:tblLayout w:type="fixed"/>
        <w:tblLook w:val="04A0" w:firstRow="1" w:lastRow="0" w:firstColumn="1" w:lastColumn="0" w:noHBand="0" w:noVBand="1"/>
      </w:tblPr>
      <w:tblGrid>
        <w:gridCol w:w="1337"/>
        <w:gridCol w:w="1036"/>
        <w:gridCol w:w="1037"/>
        <w:gridCol w:w="1036"/>
        <w:gridCol w:w="1038"/>
        <w:gridCol w:w="1037"/>
        <w:gridCol w:w="1036"/>
        <w:gridCol w:w="1037"/>
        <w:gridCol w:w="1037"/>
      </w:tblGrid>
      <w:tr w:rsidR="00737083" w:rsidRPr="00C52025" w14:paraId="659AE402" w14:textId="0D4B5EB7"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741F1B95" w14:textId="77777777" w:rsidR="00737083" w:rsidRPr="00A11426" w:rsidRDefault="00737083" w:rsidP="002557AB">
            <w:pPr>
              <w:spacing w:after="0"/>
              <w:jc w:val="center"/>
              <w:rPr>
                <w:rFonts w:eastAsia="Times New Roman"/>
                <w:b/>
                <w:bCs/>
                <w:color w:val="000000"/>
                <w:lang w:val="en-US"/>
              </w:rPr>
            </w:pPr>
          </w:p>
        </w:tc>
        <w:tc>
          <w:tcPr>
            <w:tcW w:w="4147" w:type="dxa"/>
            <w:gridSpan w:val="4"/>
            <w:tcBorders>
              <w:top w:val="single" w:sz="4" w:space="0" w:color="auto"/>
              <w:left w:val="nil"/>
              <w:bottom w:val="single" w:sz="4" w:space="0" w:color="auto"/>
              <w:right w:val="single" w:sz="4" w:space="0" w:color="auto"/>
            </w:tcBorders>
            <w:vAlign w:val="center"/>
          </w:tcPr>
          <w:p w14:paraId="1C25E501" w14:textId="387AAC66" w:rsidR="00737083" w:rsidRDefault="00737083" w:rsidP="00737083">
            <w:pPr>
              <w:spacing w:after="0"/>
              <w:jc w:val="center"/>
              <w:rPr>
                <w:rFonts w:eastAsia="Times New Roman"/>
                <w:b/>
                <w:bCs/>
                <w:color w:val="000000"/>
                <w:lang w:val="en-US"/>
              </w:rPr>
            </w:pPr>
            <w:r>
              <w:rPr>
                <w:rFonts w:eastAsia="Times New Roman"/>
                <w:b/>
                <w:bCs/>
                <w:color w:val="000000"/>
                <w:lang w:val="en-US"/>
              </w:rPr>
              <w:t>With Re-Positioning Concept</w:t>
            </w:r>
          </w:p>
        </w:tc>
        <w:tc>
          <w:tcPr>
            <w:tcW w:w="414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F7D5B17" w14:textId="0770981F" w:rsidR="00737083" w:rsidRDefault="00737083" w:rsidP="00737083">
            <w:pPr>
              <w:spacing w:after="0"/>
              <w:jc w:val="center"/>
              <w:rPr>
                <w:rFonts w:eastAsia="Times New Roman"/>
                <w:b/>
                <w:bCs/>
                <w:color w:val="000000"/>
                <w:lang w:val="en-US"/>
              </w:rPr>
            </w:pPr>
            <w:r>
              <w:rPr>
                <w:rFonts w:eastAsia="Times New Roman"/>
                <w:b/>
                <w:bCs/>
                <w:color w:val="000000"/>
                <w:lang w:val="en-US"/>
              </w:rPr>
              <w:t>Without Re-Positioning Concept</w:t>
            </w:r>
          </w:p>
        </w:tc>
      </w:tr>
      <w:tr w:rsidR="00737083" w:rsidRPr="00C52025" w14:paraId="76837EC6" w14:textId="19465A91"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162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Positions</w:t>
            </w:r>
          </w:p>
        </w:tc>
        <w:tc>
          <w:tcPr>
            <w:tcW w:w="1036" w:type="dxa"/>
            <w:tcBorders>
              <w:top w:val="single" w:sz="4" w:space="0" w:color="auto"/>
              <w:left w:val="nil"/>
              <w:bottom w:val="single" w:sz="4" w:space="0" w:color="auto"/>
              <w:right w:val="single" w:sz="4" w:space="0" w:color="auto"/>
            </w:tcBorders>
            <w:vAlign w:val="center"/>
          </w:tcPr>
          <w:p w14:paraId="04E67091" w14:textId="67A367ED"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7" w:type="dxa"/>
            <w:tcBorders>
              <w:top w:val="single" w:sz="4" w:space="0" w:color="auto"/>
              <w:left w:val="single" w:sz="4" w:space="0" w:color="auto"/>
              <w:bottom w:val="single" w:sz="4" w:space="0" w:color="auto"/>
              <w:right w:val="single" w:sz="4" w:space="0" w:color="auto"/>
            </w:tcBorders>
            <w:vAlign w:val="center"/>
          </w:tcPr>
          <w:p w14:paraId="17792A11" w14:textId="02D6EF4E"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6" w:type="dxa"/>
            <w:tcBorders>
              <w:top w:val="single" w:sz="4" w:space="0" w:color="auto"/>
              <w:left w:val="single" w:sz="4" w:space="0" w:color="auto"/>
              <w:bottom w:val="single" w:sz="4" w:space="0" w:color="auto"/>
              <w:right w:val="single" w:sz="4" w:space="0" w:color="auto"/>
            </w:tcBorders>
            <w:vAlign w:val="center"/>
          </w:tcPr>
          <w:p w14:paraId="1E4F9B48" w14:textId="0AA72EA6"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05616B76" w14:textId="127FD8D4"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891D7" w14:textId="32767489"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C89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EAE7"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3B0D3CC7" w14:textId="4DADEF38"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r>
      <w:tr w:rsidR="00737083" w:rsidRPr="00C52025" w14:paraId="1C69F88B" w14:textId="17D08A53" w:rsidTr="00383935">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DA3707C"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P1-P7</w:t>
            </w:r>
          </w:p>
        </w:tc>
        <w:tc>
          <w:tcPr>
            <w:tcW w:w="1036" w:type="dxa"/>
            <w:tcBorders>
              <w:top w:val="single" w:sz="4" w:space="0" w:color="auto"/>
              <w:left w:val="nil"/>
              <w:bottom w:val="single" w:sz="4" w:space="0" w:color="auto"/>
              <w:right w:val="single" w:sz="4" w:space="0" w:color="auto"/>
            </w:tcBorders>
            <w:vAlign w:val="center"/>
          </w:tcPr>
          <w:p w14:paraId="67A9F11A" w14:textId="36B2D680"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0.7</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7D936C80" w14:textId="05DBC106"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0.87</w:t>
            </w:r>
          </w:p>
        </w:tc>
        <w:tc>
          <w:tcPr>
            <w:tcW w:w="1036" w:type="dxa"/>
            <w:tcBorders>
              <w:top w:val="single" w:sz="4" w:space="0" w:color="auto"/>
              <w:left w:val="single" w:sz="4" w:space="0" w:color="auto"/>
              <w:bottom w:val="single" w:sz="4" w:space="0" w:color="auto"/>
              <w:right w:val="single" w:sz="4" w:space="0" w:color="auto"/>
            </w:tcBorders>
            <w:vAlign w:val="center"/>
          </w:tcPr>
          <w:p w14:paraId="1BB66695" w14:textId="1D52818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0.9</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59EE8B5A" w14:textId="49F6D4E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1.03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16F1" w14:textId="120160E2" w:rsidR="00737083" w:rsidRPr="00383935" w:rsidRDefault="00737083" w:rsidP="00383935">
            <w:pPr>
              <w:spacing w:after="0"/>
              <w:jc w:val="center"/>
              <w:rPr>
                <w:rFonts w:eastAsia="Times New Roman"/>
                <w:color w:val="000000"/>
                <w:lang w:val="en-US"/>
              </w:rPr>
            </w:pPr>
            <w:r w:rsidRPr="00383935">
              <w:rPr>
                <w:rFonts w:eastAsia="Times New Roman"/>
                <w:color w:val="000000"/>
                <w:lang w:val="en-US"/>
              </w:rPr>
              <w:t>1.08</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009D9" w14:textId="3AB7D04E"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1.06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8BB2" w14:textId="7A7DB238"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1.1</w:t>
            </w:r>
            <w:r w:rsidR="00383935">
              <w:rPr>
                <w:rFonts w:eastAsia="Times New Roman"/>
                <w:bCs/>
                <w:color w:val="000000"/>
                <w:lang w:val="en-US"/>
              </w:rPr>
              <w:t>1</w:t>
            </w:r>
          </w:p>
        </w:tc>
        <w:tc>
          <w:tcPr>
            <w:tcW w:w="1037" w:type="dxa"/>
            <w:tcBorders>
              <w:top w:val="single" w:sz="4" w:space="0" w:color="auto"/>
              <w:left w:val="single" w:sz="4" w:space="0" w:color="auto"/>
              <w:bottom w:val="single" w:sz="4" w:space="0" w:color="auto"/>
              <w:right w:val="single" w:sz="4" w:space="0" w:color="auto"/>
            </w:tcBorders>
            <w:vAlign w:val="center"/>
          </w:tcPr>
          <w:p w14:paraId="36574BD9" w14:textId="67491A2A" w:rsidR="00737083" w:rsidRDefault="00383935" w:rsidP="00383935">
            <w:pPr>
              <w:spacing w:after="0"/>
              <w:jc w:val="center"/>
              <w:rPr>
                <w:rFonts w:eastAsia="Times New Roman"/>
                <w:bCs/>
                <w:color w:val="000000"/>
                <w:lang w:val="en-US"/>
              </w:rPr>
            </w:pPr>
            <w:r>
              <w:rPr>
                <w:rFonts w:eastAsia="Times New Roman"/>
                <w:bCs/>
                <w:color w:val="000000"/>
                <w:lang w:val="en-US"/>
              </w:rPr>
              <w:t>1.20</w:t>
            </w:r>
          </w:p>
        </w:tc>
      </w:tr>
      <w:tr w:rsidR="00737083" w:rsidRPr="00C52025" w14:paraId="1920929E" w14:textId="15B86094" w:rsidTr="00383935">
        <w:trPr>
          <w:trHeight w:val="290"/>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870ADE9"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 only</w:t>
            </w:r>
          </w:p>
        </w:tc>
        <w:tc>
          <w:tcPr>
            <w:tcW w:w="1036" w:type="dxa"/>
            <w:tcBorders>
              <w:top w:val="single" w:sz="4" w:space="0" w:color="auto"/>
              <w:left w:val="nil"/>
              <w:bottom w:val="single" w:sz="4" w:space="0" w:color="auto"/>
              <w:right w:val="single" w:sz="4" w:space="0" w:color="auto"/>
            </w:tcBorders>
            <w:vAlign w:val="center"/>
          </w:tcPr>
          <w:p w14:paraId="4921925B" w14:textId="15B0783D" w:rsidR="00737083" w:rsidRPr="00383935" w:rsidRDefault="00383935"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20</w:t>
            </w:r>
          </w:p>
        </w:tc>
        <w:tc>
          <w:tcPr>
            <w:tcW w:w="1037" w:type="dxa"/>
            <w:tcBorders>
              <w:top w:val="single" w:sz="4" w:space="0" w:color="auto"/>
              <w:left w:val="single" w:sz="4" w:space="0" w:color="auto"/>
              <w:bottom w:val="single" w:sz="4" w:space="0" w:color="auto"/>
              <w:right w:val="single" w:sz="4" w:space="0" w:color="auto"/>
            </w:tcBorders>
            <w:vAlign w:val="center"/>
          </w:tcPr>
          <w:p w14:paraId="27F88DCB" w14:textId="57B68D27" w:rsidR="00737083" w:rsidRPr="00383935" w:rsidRDefault="007B74D6"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07</w:t>
            </w:r>
          </w:p>
        </w:tc>
        <w:tc>
          <w:tcPr>
            <w:tcW w:w="1036" w:type="dxa"/>
            <w:tcBorders>
              <w:top w:val="single" w:sz="4" w:space="0" w:color="auto"/>
              <w:left w:val="single" w:sz="4" w:space="0" w:color="auto"/>
              <w:bottom w:val="single" w:sz="4" w:space="0" w:color="auto"/>
              <w:right w:val="single" w:sz="4" w:space="0" w:color="auto"/>
            </w:tcBorders>
            <w:vAlign w:val="center"/>
          </w:tcPr>
          <w:p w14:paraId="05646B55" w14:textId="1151F86C" w:rsidR="00737083" w:rsidRPr="00383935" w:rsidRDefault="007B74D6" w:rsidP="00383935">
            <w:pPr>
              <w:spacing w:after="0"/>
              <w:jc w:val="center"/>
              <w:rPr>
                <w:rFonts w:eastAsia="Times New Roman"/>
                <w:color w:val="000000"/>
                <w:lang w:val="en-US"/>
              </w:rPr>
            </w:pPr>
            <w:r>
              <w:rPr>
                <w:rFonts w:eastAsia="Times New Roman"/>
                <w:color w:val="000000"/>
                <w:lang w:val="en-US"/>
              </w:rPr>
              <w:t>0.1</w:t>
            </w:r>
            <w:r w:rsidR="00CC66EA">
              <w:rPr>
                <w:rFonts w:eastAsia="Times New Roman"/>
                <w:color w:val="000000"/>
                <w:lang w:val="en-US"/>
              </w:rPr>
              <w:t>3</w:t>
            </w:r>
          </w:p>
        </w:tc>
        <w:tc>
          <w:tcPr>
            <w:tcW w:w="1037" w:type="dxa"/>
            <w:tcBorders>
              <w:top w:val="single" w:sz="4" w:space="0" w:color="auto"/>
              <w:left w:val="single" w:sz="4" w:space="0" w:color="auto"/>
              <w:bottom w:val="single" w:sz="4" w:space="0" w:color="auto"/>
              <w:right w:val="single" w:sz="4" w:space="0" w:color="auto"/>
            </w:tcBorders>
            <w:vAlign w:val="center"/>
          </w:tcPr>
          <w:p w14:paraId="4052FB76" w14:textId="10B40641" w:rsidR="00737083" w:rsidRPr="00383935" w:rsidRDefault="007B74D6" w:rsidP="00383935">
            <w:pPr>
              <w:spacing w:after="0"/>
              <w:jc w:val="center"/>
              <w:rPr>
                <w:rFonts w:eastAsia="Times New Roman"/>
                <w:color w:val="000000"/>
                <w:lang w:val="en-US"/>
              </w:rPr>
            </w:pPr>
            <w:r>
              <w:rPr>
                <w:rFonts w:eastAsia="Times New Roman"/>
                <w:color w:val="000000"/>
                <w:lang w:val="en-US"/>
              </w:rPr>
              <w:t>0.18</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8D14" w14:textId="65E8EE69"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0.29</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EC0B" w14:textId="487196BF"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0.26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8292F" w14:textId="454CF33C"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0.19</w:t>
            </w:r>
          </w:p>
        </w:tc>
        <w:tc>
          <w:tcPr>
            <w:tcW w:w="1037" w:type="dxa"/>
            <w:tcBorders>
              <w:top w:val="single" w:sz="4" w:space="0" w:color="auto"/>
              <w:left w:val="single" w:sz="4" w:space="0" w:color="auto"/>
              <w:bottom w:val="single" w:sz="4" w:space="0" w:color="auto"/>
              <w:right w:val="single" w:sz="4" w:space="0" w:color="auto"/>
            </w:tcBorders>
            <w:vAlign w:val="center"/>
          </w:tcPr>
          <w:p w14:paraId="5D5DC1C4" w14:textId="19627749" w:rsidR="00737083" w:rsidRPr="00A11426" w:rsidRDefault="00383935" w:rsidP="00383935">
            <w:pPr>
              <w:spacing w:after="0"/>
              <w:jc w:val="center"/>
              <w:rPr>
                <w:rFonts w:eastAsia="Times New Roman"/>
                <w:bCs/>
                <w:color w:val="000000"/>
                <w:lang w:val="en-US"/>
              </w:rPr>
            </w:pPr>
            <w:r w:rsidRPr="00383935">
              <w:rPr>
                <w:rFonts w:eastAsia="Times New Roman"/>
                <w:bCs/>
                <w:color w:val="000000"/>
                <w:lang w:val="en-US"/>
              </w:rPr>
              <w:t>0.2</w:t>
            </w:r>
            <w:r>
              <w:rPr>
                <w:rFonts w:eastAsia="Times New Roman"/>
                <w:bCs/>
                <w:color w:val="000000"/>
                <w:lang w:val="en-US"/>
              </w:rPr>
              <w:t>6</w:t>
            </w:r>
          </w:p>
        </w:tc>
      </w:tr>
      <w:bookmarkEnd w:id="19"/>
    </w:tbl>
    <w:p w14:paraId="11A58720" w14:textId="77777777" w:rsidR="00737083" w:rsidRDefault="00737083" w:rsidP="00737083"/>
    <w:p w14:paraId="0233E297" w14:textId="2A69B066" w:rsidR="00546F31" w:rsidRDefault="007B74D6" w:rsidP="00737083">
      <w:r>
        <w:t xml:space="preserve">It </w:t>
      </w:r>
      <w:r w:rsidR="00737083">
        <w:t>is proposed to set the MU element of Quality of Quiet Zone for FR2_A</w:t>
      </w:r>
      <w:r>
        <w:t xml:space="preserve">, </w:t>
      </w:r>
      <w:r w:rsidR="00737083">
        <w:t>FR2_B</w:t>
      </w:r>
      <w:r>
        <w:t>, and FR2_C</w:t>
      </w:r>
      <w:r w:rsidR="00737083">
        <w:t xml:space="preserve"> to </w:t>
      </w:r>
      <w:r>
        <w:t>1.</w:t>
      </w:r>
      <w:r w:rsidR="000275E1">
        <w:t>2</w:t>
      </w:r>
      <w:r w:rsidR="00737083">
        <w:t>dB for Stage 2 and to 0.</w:t>
      </w:r>
      <w:r>
        <w:t>3</w:t>
      </w:r>
      <w:r w:rsidR="00737083">
        <w:t>dB for Stage 1</w:t>
      </w:r>
      <w:r>
        <w:t xml:space="preserve"> for 2 AoA RRM test cases based on DFF implementation</w:t>
      </w:r>
      <w:r w:rsidR="00737083">
        <w:t>.</w:t>
      </w:r>
    </w:p>
    <w:p w14:paraId="264B906E" w14:textId="7FE9F8E6" w:rsidR="007B74D6" w:rsidRPr="00546F31" w:rsidRDefault="007B74D6" w:rsidP="007B74D6">
      <w:pPr>
        <w:pStyle w:val="Caption"/>
      </w:pPr>
      <w:bookmarkStart w:id="20" w:name="_Ref47607972"/>
      <w:r>
        <w:t xml:space="preserve">Proposal </w:t>
      </w:r>
      <w:r>
        <w:fldChar w:fldCharType="begin"/>
      </w:r>
      <w:r>
        <w:instrText xml:space="preserve"> SEQ Proposal \* ARABIC </w:instrText>
      </w:r>
      <w:r>
        <w:fldChar w:fldCharType="separate"/>
      </w:r>
      <w:r w:rsidR="005D275B">
        <w:rPr>
          <w:noProof/>
        </w:rPr>
        <w:t>2</w:t>
      </w:r>
      <w:r>
        <w:fldChar w:fldCharType="end"/>
      </w:r>
      <w:r>
        <w:t>: Set the MU element of Quality of Quiet Zone for FR2_A, FR2_B, and FR2_C to 1.</w:t>
      </w:r>
      <w:r w:rsidR="000275E1">
        <w:t>2</w:t>
      </w:r>
      <w:r>
        <w:t>dB for Stage 2 and to 0.3dB for Stage 1 for 2 AoA RRM test cases based on DFF implementation</w:t>
      </w:r>
      <w:bookmarkEnd w:id="20"/>
    </w:p>
    <w:p w14:paraId="35952390" w14:textId="77777777" w:rsidR="008B0529" w:rsidRDefault="0053435C" w:rsidP="0053435C">
      <w:pPr>
        <w:pStyle w:val="Heading1"/>
        <w:ind w:left="567" w:hanging="567"/>
      </w:pPr>
      <w:r>
        <w:t>Conclusion</w:t>
      </w:r>
    </w:p>
    <w:p w14:paraId="35952391" w14:textId="192D7CDB" w:rsidR="008B0529" w:rsidRDefault="0053435C" w:rsidP="008B0529">
      <w:r>
        <w:t>The following observations and proposals were made in this contribution</w:t>
      </w:r>
    </w:p>
    <w:p w14:paraId="156B3EA1" w14:textId="4AFC9078" w:rsidR="000275E1" w:rsidRPr="002237B7" w:rsidRDefault="002237B7" w:rsidP="008B0529">
      <w:pPr>
        <w:rPr>
          <w:b/>
          <w:bCs/>
        </w:rPr>
      </w:pPr>
      <w:r w:rsidRPr="002237B7">
        <w:rPr>
          <w:b/>
          <w:bCs/>
        </w:rPr>
        <w:fldChar w:fldCharType="begin"/>
      </w:r>
      <w:r w:rsidRPr="002237B7">
        <w:rPr>
          <w:b/>
          <w:bCs/>
        </w:rPr>
        <w:instrText xml:space="preserve"> REF _Ref47695254 \h </w:instrText>
      </w:r>
      <w:r w:rsidRPr="002237B7">
        <w:rPr>
          <w:b/>
          <w:bCs/>
        </w:rPr>
      </w:r>
      <w:r>
        <w:rPr>
          <w:b/>
          <w:bCs/>
        </w:rPr>
        <w:instrText xml:space="preserve"> \* MERGEFORMAT </w:instrText>
      </w:r>
      <w:r w:rsidRPr="002237B7">
        <w:rPr>
          <w:b/>
          <w:bCs/>
        </w:rPr>
        <w:fldChar w:fldCharType="separate"/>
      </w:r>
      <w:r w:rsidRPr="002237B7">
        <w:rPr>
          <w:b/>
          <w:bCs/>
        </w:rPr>
        <w:t xml:space="preserve">Observation </w:t>
      </w:r>
      <w:r w:rsidRPr="002237B7">
        <w:rPr>
          <w:b/>
          <w:bCs/>
          <w:noProof/>
        </w:rPr>
        <w:t>1</w:t>
      </w:r>
      <w:r w:rsidRPr="002237B7">
        <w:rPr>
          <w:b/>
          <w:bCs/>
        </w:rPr>
        <w:t>: The re-positioning approach for the QoQZ is generally not applicable to RRM 2 AoA testing</w:t>
      </w:r>
      <w:r w:rsidRPr="002237B7">
        <w:rPr>
          <w:b/>
          <w:bCs/>
        </w:rPr>
        <w:fldChar w:fldCharType="end"/>
      </w:r>
    </w:p>
    <w:p w14:paraId="352605CA" w14:textId="563F2834" w:rsidR="002237B7" w:rsidRPr="002237B7" w:rsidRDefault="002237B7" w:rsidP="008B0529">
      <w:pPr>
        <w:rPr>
          <w:b/>
          <w:bCs/>
        </w:rPr>
      </w:pPr>
      <w:r w:rsidRPr="002237B7">
        <w:rPr>
          <w:b/>
          <w:bCs/>
        </w:rPr>
        <w:lastRenderedPageBreak/>
        <w:fldChar w:fldCharType="begin"/>
      </w:r>
      <w:r w:rsidRPr="002237B7">
        <w:rPr>
          <w:b/>
          <w:bCs/>
        </w:rPr>
        <w:instrText xml:space="preserve"> REF _Ref47607971 \h </w:instrText>
      </w:r>
      <w:r w:rsidRPr="002237B7">
        <w:rPr>
          <w:b/>
          <w:bCs/>
        </w:rPr>
      </w:r>
      <w:r>
        <w:rPr>
          <w:b/>
          <w:bCs/>
        </w:rPr>
        <w:instrText xml:space="preserve"> \* MERGEFORMAT </w:instrText>
      </w:r>
      <w:r w:rsidRPr="002237B7">
        <w:rPr>
          <w:b/>
          <w:bCs/>
        </w:rPr>
        <w:fldChar w:fldCharType="separate"/>
      </w:r>
      <w:r w:rsidRPr="002237B7">
        <w:rPr>
          <w:b/>
          <w:bCs/>
        </w:rPr>
        <w:t xml:space="preserve">Proposal </w:t>
      </w:r>
      <w:r w:rsidRPr="002237B7">
        <w:rPr>
          <w:b/>
          <w:bCs/>
          <w:noProof/>
        </w:rPr>
        <w:t>1</w:t>
      </w:r>
      <w:r w:rsidRPr="002237B7">
        <w:rPr>
          <w:b/>
          <w:bCs/>
        </w:rPr>
        <w:t>: It is proposed that the QoQZ validation and MTSU for RRM 2 AoA test cases does not consider the re-positioning concept.</w:t>
      </w:r>
      <w:r w:rsidRPr="002237B7">
        <w:rPr>
          <w:b/>
          <w:bCs/>
        </w:rPr>
        <w:fldChar w:fldCharType="end"/>
      </w:r>
    </w:p>
    <w:p w14:paraId="2FAA3E94" w14:textId="4FF64036" w:rsidR="002237B7" w:rsidRPr="002237B7" w:rsidRDefault="002237B7" w:rsidP="008B0529">
      <w:pPr>
        <w:rPr>
          <w:b/>
          <w:bCs/>
        </w:rPr>
      </w:pPr>
      <w:r w:rsidRPr="002237B7">
        <w:rPr>
          <w:b/>
          <w:bCs/>
        </w:rPr>
        <w:fldChar w:fldCharType="begin"/>
      </w:r>
      <w:r w:rsidRPr="002237B7">
        <w:rPr>
          <w:b/>
          <w:bCs/>
        </w:rPr>
        <w:instrText xml:space="preserve"> REF _Ref47607972 \h </w:instrText>
      </w:r>
      <w:r w:rsidRPr="002237B7">
        <w:rPr>
          <w:b/>
          <w:bCs/>
        </w:rPr>
      </w:r>
      <w:r>
        <w:rPr>
          <w:b/>
          <w:bCs/>
        </w:rPr>
        <w:instrText xml:space="preserve"> \* MERGEFORMAT </w:instrText>
      </w:r>
      <w:r w:rsidRPr="002237B7">
        <w:rPr>
          <w:b/>
          <w:bCs/>
        </w:rPr>
        <w:fldChar w:fldCharType="separate"/>
      </w:r>
      <w:r w:rsidRPr="002237B7">
        <w:rPr>
          <w:b/>
          <w:bCs/>
        </w:rPr>
        <w:t xml:space="preserve">Proposal </w:t>
      </w:r>
      <w:r w:rsidRPr="002237B7">
        <w:rPr>
          <w:b/>
          <w:bCs/>
          <w:noProof/>
        </w:rPr>
        <w:t>2</w:t>
      </w:r>
      <w:r w:rsidRPr="002237B7">
        <w:rPr>
          <w:b/>
          <w:bCs/>
        </w:rPr>
        <w:t>: Set the MU element of Quality of Quiet Zone for FR2_A, FR2_B, and FR2_C to 1.2dB for Stage 2 and to 0.3dB for Stage 1 for 2 AoA RRM test cases based on DFF implementation</w:t>
      </w:r>
      <w:r w:rsidRPr="002237B7">
        <w:rPr>
          <w:b/>
          <w:bCs/>
        </w:rPr>
        <w:fldChar w:fldCharType="end"/>
      </w:r>
    </w:p>
    <w:p w14:paraId="35952392" w14:textId="77777777" w:rsidR="00DD1C07" w:rsidRDefault="00DD1C07" w:rsidP="00DD1C07">
      <w:pPr>
        <w:pStyle w:val="Heading1"/>
        <w:ind w:left="567" w:hanging="567"/>
      </w:pPr>
      <w:bookmarkStart w:id="21" w:name="_GoBack"/>
      <w:bookmarkEnd w:id="21"/>
      <w:r>
        <w:t>References</w:t>
      </w:r>
    </w:p>
    <w:p w14:paraId="35952393" w14:textId="2C00BBE4" w:rsidR="000547AB" w:rsidRPr="00546F31" w:rsidRDefault="00AF4F64" w:rsidP="00546F31">
      <w:pPr>
        <w:pStyle w:val="ListParagraph"/>
        <w:numPr>
          <w:ilvl w:val="0"/>
          <w:numId w:val="5"/>
        </w:numPr>
        <w:rPr>
          <w:rFonts w:ascii="Times New Roman" w:eastAsia="Malgun Gothic" w:hAnsi="Times New Roman"/>
          <w:sz w:val="20"/>
          <w:szCs w:val="20"/>
          <w:lang w:val="en-GB"/>
        </w:rPr>
      </w:pPr>
      <w:r w:rsidRPr="00546F31">
        <w:rPr>
          <w:rFonts w:ascii="Times New Roman" w:eastAsia="Malgun Gothic" w:hAnsi="Times New Roman"/>
          <w:sz w:val="20"/>
          <w:szCs w:val="20"/>
          <w:lang w:val="en-GB"/>
        </w:rPr>
        <w:t>TR38.810, Study on test methods, V16.5.0 (2019-12)</w:t>
      </w:r>
    </w:p>
    <w:p w14:paraId="6C589770" w14:textId="77777777" w:rsidR="00AF4F64" w:rsidRPr="00AF4F64" w:rsidRDefault="00AF4F64" w:rsidP="00AF4F64">
      <w:pPr>
        <w:pStyle w:val="ListParagraph"/>
        <w:numPr>
          <w:ilvl w:val="0"/>
          <w:numId w:val="5"/>
        </w:numPr>
        <w:rPr>
          <w:rFonts w:ascii="Times New Roman" w:eastAsia="Malgun Gothic" w:hAnsi="Times New Roman"/>
          <w:sz w:val="20"/>
          <w:szCs w:val="20"/>
          <w:lang w:val="en-GB"/>
        </w:rPr>
      </w:pPr>
      <w:bookmarkStart w:id="22" w:name="_Ref47599131"/>
      <w:r w:rsidRPr="00AF4F64">
        <w:rPr>
          <w:rFonts w:ascii="Times New Roman" w:eastAsia="Malgun Gothic" w:hAnsi="Times New Roman"/>
          <w:sz w:val="20"/>
          <w:szCs w:val="20"/>
          <w:lang w:val="en-GB"/>
        </w:rPr>
        <w:t>TS 38.508-1, User Equipment (UE) conformance specification; Part 1: Common test environment, V16.4.0 (2020-06)</w:t>
      </w:r>
      <w:bookmarkEnd w:id="22"/>
    </w:p>
    <w:p w14:paraId="7205B614" w14:textId="77777777" w:rsidR="007D362C" w:rsidRPr="007D362C" w:rsidRDefault="007D362C" w:rsidP="007D362C">
      <w:pPr>
        <w:pStyle w:val="ListParagraph"/>
        <w:numPr>
          <w:ilvl w:val="0"/>
          <w:numId w:val="5"/>
        </w:numPr>
        <w:rPr>
          <w:rFonts w:ascii="Times New Roman" w:eastAsia="Malgun Gothic" w:hAnsi="Times New Roman"/>
          <w:sz w:val="20"/>
          <w:szCs w:val="20"/>
          <w:lang w:val="en-GB"/>
        </w:rPr>
      </w:pPr>
      <w:bookmarkStart w:id="23" w:name="_Ref47605628"/>
      <w:r w:rsidRPr="007D362C">
        <w:rPr>
          <w:rFonts w:ascii="Times New Roman" w:eastAsia="Malgun Gothic" w:hAnsi="Times New Roman"/>
          <w:sz w:val="20"/>
          <w:szCs w:val="20"/>
          <w:lang w:val="en-GB"/>
        </w:rPr>
        <w:t>TS 38.521-2, User Equipment (UE) conformance specification; Radio transmission and reception; Part 2: Range 2 Standalone, V16.40 (2020-06)</w:t>
      </w:r>
      <w:bookmarkEnd w:id="23"/>
    </w:p>
    <w:p w14:paraId="639822C3" w14:textId="77777777" w:rsidR="00546F31" w:rsidRPr="00546F31" w:rsidRDefault="00546F31" w:rsidP="00546F31">
      <w:pPr>
        <w:pStyle w:val="ListParagraph"/>
        <w:numPr>
          <w:ilvl w:val="0"/>
          <w:numId w:val="5"/>
        </w:numPr>
        <w:rPr>
          <w:rFonts w:ascii="Times New Roman" w:eastAsia="Malgun Gothic" w:hAnsi="Times New Roman"/>
          <w:sz w:val="20"/>
          <w:szCs w:val="20"/>
          <w:lang w:val="en-GB"/>
        </w:rPr>
      </w:pPr>
      <w:bookmarkStart w:id="24" w:name="_Ref47606534"/>
      <w:r w:rsidRPr="00546F31">
        <w:rPr>
          <w:rFonts w:ascii="Times New Roman" w:eastAsia="Malgun Gothic" w:hAnsi="Times New Roman"/>
          <w:sz w:val="20"/>
          <w:szCs w:val="20"/>
          <w:lang w:val="en-GB"/>
        </w:rPr>
        <w:t>TR 38.903, Derivation of test tolerances and measurement uncertainty for User Equipment (UE) conformance test cases, V16.4.0 (2020-06)</w:t>
      </w:r>
      <w:bookmarkEnd w:id="24"/>
    </w:p>
    <w:p w14:paraId="3334F312" w14:textId="77777777" w:rsidR="00AF4F64" w:rsidRPr="00546F31" w:rsidRDefault="00AF4F64" w:rsidP="00546F31">
      <w:pPr>
        <w:pStyle w:val="ListParagraph"/>
        <w:numPr>
          <w:ilvl w:val="0"/>
          <w:numId w:val="5"/>
        </w:numPr>
        <w:rPr>
          <w:rFonts w:ascii="Times New Roman" w:eastAsia="Malgun Gothic" w:hAnsi="Times New Roman"/>
          <w:sz w:val="20"/>
          <w:szCs w:val="20"/>
          <w:lang w:val="en-GB"/>
        </w:rPr>
      </w:pPr>
    </w:p>
    <w:sectPr w:rsidR="00AF4F64" w:rsidRPr="00546F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5F59" w14:textId="77777777" w:rsidR="005C43D1" w:rsidRDefault="005C43D1">
      <w:r>
        <w:separator/>
      </w:r>
    </w:p>
  </w:endnote>
  <w:endnote w:type="continuationSeparator" w:id="0">
    <w:p w14:paraId="4B4AF64A" w14:textId="77777777" w:rsidR="005C43D1" w:rsidRDefault="005C43D1">
      <w:r>
        <w:continuationSeparator/>
      </w:r>
    </w:p>
  </w:endnote>
  <w:endnote w:type="continuationNotice" w:id="1">
    <w:p w14:paraId="0163D054" w14:textId="77777777" w:rsidR="005C43D1" w:rsidRDefault="005C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0600" w14:textId="77777777" w:rsidR="005C43D1" w:rsidRDefault="005C43D1">
      <w:r>
        <w:separator/>
      </w:r>
    </w:p>
  </w:footnote>
  <w:footnote w:type="continuationSeparator" w:id="0">
    <w:p w14:paraId="111305F7" w14:textId="77777777" w:rsidR="005C43D1" w:rsidRDefault="005C43D1">
      <w:r>
        <w:continuationSeparator/>
      </w:r>
    </w:p>
  </w:footnote>
  <w:footnote w:type="continuationNotice" w:id="1">
    <w:p w14:paraId="0E9FE062" w14:textId="77777777" w:rsidR="005C43D1" w:rsidRDefault="005C4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500127"/>
    <w:multiLevelType w:val="hybridMultilevel"/>
    <w:tmpl w:val="D712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19"/>
  </w:num>
  <w:num w:numId="20">
    <w:abstractNumId w:val="25"/>
  </w:num>
  <w:num w:numId="21">
    <w:abstractNumId w:val="30"/>
  </w:num>
  <w:num w:numId="22">
    <w:abstractNumId w:val="23"/>
  </w:num>
  <w:num w:numId="23">
    <w:abstractNumId w:val="20"/>
  </w:num>
  <w:num w:numId="24">
    <w:abstractNumId w:val="9"/>
  </w:num>
  <w:num w:numId="25">
    <w:abstractNumId w:val="4"/>
  </w:num>
  <w:num w:numId="26">
    <w:abstractNumId w:val="24"/>
  </w:num>
  <w:num w:numId="27">
    <w:abstractNumId w:val="24"/>
  </w:num>
  <w:num w:numId="28">
    <w:abstractNumId w:val="24"/>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8"/>
  </w:num>
  <w:num w:numId="38">
    <w:abstractNumId w:val="12"/>
  </w:num>
  <w:num w:numId="39">
    <w:abstractNumId w:val="18"/>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275E1"/>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12D8"/>
    <w:rsid w:val="001064A2"/>
    <w:rsid w:val="00114DB9"/>
    <w:rsid w:val="001174D8"/>
    <w:rsid w:val="00121323"/>
    <w:rsid w:val="00122845"/>
    <w:rsid w:val="00124141"/>
    <w:rsid w:val="001258E2"/>
    <w:rsid w:val="0013001E"/>
    <w:rsid w:val="00130A4D"/>
    <w:rsid w:val="001312D6"/>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37B7"/>
    <w:rsid w:val="0022419C"/>
    <w:rsid w:val="00234D1C"/>
    <w:rsid w:val="00235394"/>
    <w:rsid w:val="00235813"/>
    <w:rsid w:val="00236683"/>
    <w:rsid w:val="0023752C"/>
    <w:rsid w:val="00241A14"/>
    <w:rsid w:val="0024384D"/>
    <w:rsid w:val="00244EEE"/>
    <w:rsid w:val="0025114C"/>
    <w:rsid w:val="00251340"/>
    <w:rsid w:val="00252AEA"/>
    <w:rsid w:val="00254246"/>
    <w:rsid w:val="002557AB"/>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6F8D"/>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2C75"/>
    <w:rsid w:val="002E465A"/>
    <w:rsid w:val="002E47F7"/>
    <w:rsid w:val="002E5BBD"/>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B6F"/>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3935"/>
    <w:rsid w:val="00384387"/>
    <w:rsid w:val="003907E3"/>
    <w:rsid w:val="0039361E"/>
    <w:rsid w:val="0039509E"/>
    <w:rsid w:val="00397CC0"/>
    <w:rsid w:val="003A18DC"/>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222"/>
    <w:rsid w:val="00491FA6"/>
    <w:rsid w:val="0049571E"/>
    <w:rsid w:val="00495A33"/>
    <w:rsid w:val="004A07A1"/>
    <w:rsid w:val="004A17C7"/>
    <w:rsid w:val="004A419F"/>
    <w:rsid w:val="004A6B36"/>
    <w:rsid w:val="004B27EC"/>
    <w:rsid w:val="004C2A16"/>
    <w:rsid w:val="004D0FD5"/>
    <w:rsid w:val="004D25C1"/>
    <w:rsid w:val="004D5AE5"/>
    <w:rsid w:val="004D5B2B"/>
    <w:rsid w:val="004E2B50"/>
    <w:rsid w:val="004E5B03"/>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F31"/>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3B91"/>
    <w:rsid w:val="005C239F"/>
    <w:rsid w:val="005C331B"/>
    <w:rsid w:val="005C43D1"/>
    <w:rsid w:val="005C4593"/>
    <w:rsid w:val="005D275B"/>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2B15"/>
    <w:rsid w:val="006937D0"/>
    <w:rsid w:val="00695755"/>
    <w:rsid w:val="00696BE5"/>
    <w:rsid w:val="00696D0A"/>
    <w:rsid w:val="006974B7"/>
    <w:rsid w:val="006A03F3"/>
    <w:rsid w:val="006A559A"/>
    <w:rsid w:val="006A5A2A"/>
    <w:rsid w:val="006A5ED0"/>
    <w:rsid w:val="006B03F1"/>
    <w:rsid w:val="006B0D02"/>
    <w:rsid w:val="006B1C2F"/>
    <w:rsid w:val="006B363D"/>
    <w:rsid w:val="006B39EF"/>
    <w:rsid w:val="006C3A94"/>
    <w:rsid w:val="006D132D"/>
    <w:rsid w:val="006D6B1F"/>
    <w:rsid w:val="006E2361"/>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083"/>
    <w:rsid w:val="007373B0"/>
    <w:rsid w:val="007403F2"/>
    <w:rsid w:val="00741775"/>
    <w:rsid w:val="00744CC1"/>
    <w:rsid w:val="0074650E"/>
    <w:rsid w:val="00747AD4"/>
    <w:rsid w:val="00752FA3"/>
    <w:rsid w:val="007654DB"/>
    <w:rsid w:val="00770A12"/>
    <w:rsid w:val="00774B17"/>
    <w:rsid w:val="007756A1"/>
    <w:rsid w:val="0078088D"/>
    <w:rsid w:val="00785759"/>
    <w:rsid w:val="00785D03"/>
    <w:rsid w:val="00786BA3"/>
    <w:rsid w:val="007927CF"/>
    <w:rsid w:val="00797994"/>
    <w:rsid w:val="007A2502"/>
    <w:rsid w:val="007A4551"/>
    <w:rsid w:val="007A4F68"/>
    <w:rsid w:val="007A5139"/>
    <w:rsid w:val="007A5243"/>
    <w:rsid w:val="007A5A69"/>
    <w:rsid w:val="007A6059"/>
    <w:rsid w:val="007B03C6"/>
    <w:rsid w:val="007B0584"/>
    <w:rsid w:val="007B5856"/>
    <w:rsid w:val="007B6FFB"/>
    <w:rsid w:val="007B74D6"/>
    <w:rsid w:val="007C6DD8"/>
    <w:rsid w:val="007D0054"/>
    <w:rsid w:val="007D258B"/>
    <w:rsid w:val="007D362C"/>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17DC"/>
    <w:rsid w:val="00803E82"/>
    <w:rsid w:val="00804709"/>
    <w:rsid w:val="00805FA5"/>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406"/>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4F64"/>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C5DBF"/>
    <w:rsid w:val="00BD0006"/>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8E2"/>
    <w:rsid w:val="00C31D69"/>
    <w:rsid w:val="00C401B8"/>
    <w:rsid w:val="00C42F12"/>
    <w:rsid w:val="00C451D8"/>
    <w:rsid w:val="00C475DA"/>
    <w:rsid w:val="00C56792"/>
    <w:rsid w:val="00C6278C"/>
    <w:rsid w:val="00C63AA2"/>
    <w:rsid w:val="00C65422"/>
    <w:rsid w:val="00C6599B"/>
    <w:rsid w:val="00C76F04"/>
    <w:rsid w:val="00C804C3"/>
    <w:rsid w:val="00C80614"/>
    <w:rsid w:val="00C807DB"/>
    <w:rsid w:val="00C81268"/>
    <w:rsid w:val="00C83771"/>
    <w:rsid w:val="00C856E9"/>
    <w:rsid w:val="00C87851"/>
    <w:rsid w:val="00C93744"/>
    <w:rsid w:val="00C958F3"/>
    <w:rsid w:val="00C9705C"/>
    <w:rsid w:val="00CA1156"/>
    <w:rsid w:val="00CA3A27"/>
    <w:rsid w:val="00CA50C7"/>
    <w:rsid w:val="00CA517A"/>
    <w:rsid w:val="00CB0D58"/>
    <w:rsid w:val="00CB29E4"/>
    <w:rsid w:val="00CB5BF2"/>
    <w:rsid w:val="00CC15A4"/>
    <w:rsid w:val="00CC28A9"/>
    <w:rsid w:val="00CC6580"/>
    <w:rsid w:val="00CC66EA"/>
    <w:rsid w:val="00CC6FE0"/>
    <w:rsid w:val="00CC75FD"/>
    <w:rsid w:val="00CE0386"/>
    <w:rsid w:val="00CF0031"/>
    <w:rsid w:val="00CF0C99"/>
    <w:rsid w:val="00CF3AF8"/>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3E"/>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435CB"/>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437C9A12-8389-407F-84BA-0BD35E008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B3B9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AFB93-12A6-4D92-BDFD-781DE524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Pages>
  <Words>1692</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33</cp:revision>
  <dcterms:created xsi:type="dcterms:W3CDTF">2019-07-01T06:45:00Z</dcterms:created>
  <dcterms:modified xsi:type="dcterms:W3CDTF">2020-08-07T19:20:00Z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